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0de32133d4a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1250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Griffey, Orwall, Dent, MacEwen, Hayes, Holy, McCaslin, and Doglio</w:t>
      </w:r>
    </w:p>
    <w:p/>
    <w:p>
      <w:r>
        <w:rPr>
          <w:t xml:space="preserve">Read first time 01/16/17.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retail marijuana outlets to give a free lockable drug box to adults age twenty-one years and over and to qualifying patients age eighteen years and over subject to restrictions; amending RCW 69.50.357;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2016 c 171 s 1 are each amended to read as follows:</w:t>
      </w:r>
    </w:p>
    <w:p>
      <w:pPr>
        <w:spacing w:before="0" w:after="0" w:line="408" w:lineRule="exact"/>
        <w:ind w:left="0" w:right="0" w:firstLine="576"/>
        <w:jc w:val="left"/>
      </w:pPr>
      <w:r>
        <w:rPr/>
        <w:t xml:space="preserve">(1)</w:t>
      </w:r>
      <w:r>
        <w:rPr>
          <w:u w:val="single"/>
        </w:rPr>
        <w:t xml:space="preserve">(a)</w:t>
      </w:r>
      <w:r>
        <w:rPr/>
        <w:t xml:space="preserve">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u w:val="single"/>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u w:val="single"/>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u w:val="single"/>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Except for the purposes of disposal as authorized by the </w:t>
      </w:r>
      <w:r>
        <w:rPr>
          <w:u w:val="single"/>
        </w:rPr>
        <w:t xml:space="preserve">state liquor and cannabis</w:t>
      </w:r>
      <w:r>
        <w:rPr/>
        <w:t xml:space="preserve">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
      <w:pPr>
        <w:jc w:val="center"/>
      </w:pPr>
      <w:r>
        <w:rPr>
          <w:b/>
        </w:rPr>
        <w:t>--- END ---</w:t>
      </w:r>
    </w:p>
    <w:sectPr>
      <w:pgNumType w:start="1"/>
      <w:footerReference xmlns:r="http://schemas.openxmlformats.org/officeDocument/2006/relationships" r:id="R44b545ccf56b4e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a39fabfb814049" /><Relationship Type="http://schemas.openxmlformats.org/officeDocument/2006/relationships/footer" Target="/word/footer.xml" Id="R44b545ccf56b4efe" /></Relationships>
</file>