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7e321a058b44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1293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18, 2018</w:t>
            </w:r>
          </w:p>
          <w:p>
            <w:pPr>
              <w:ind w:left="0" w:right="0" w:firstLine="360"/>
            </w:pPr>
            <w:r>
              <w:t xml:space="preserve">Yeas </w:t>
              <w:t xml:space="preserve">93</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41</w:t>
            </w:r>
            <w:r>
              <w:t xml:space="preserve">  Nays </w:t>
              <w:t xml:space="preserve">8</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1293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1293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Higher Education (originally sponsored by Representatives Ortiz-Self, Caldier, Stonier, Doglio, Orwall, Senn, Tarleton, McBride, Gregerson, Kagi, Jinkins, Santos, Pollet, Bergquist, Kilduff, Young, and Frame)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2017 3rd sp.s. c 20 s 11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 or</w:t>
      </w:r>
    </w:p>
    <w:p>
      <w:pPr>
        <w:spacing w:before="0" w:after="0" w:line="408" w:lineRule="exact"/>
        <w:ind w:left="0" w:right="0" w:firstLine="576"/>
        <w:jc w:val="left"/>
      </w:pPr>
      <w:r>
        <w:rPr/>
        <w:t xml:space="preserve">(c) Were dependent pursuant to chapter 13.34 RCW and were adopted between the ages of fourteen and eighteen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2018-19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 All attempts to contact the parent or guardian must be documented and maintained in the student's official file.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eligible children as defined in subsection (1)(b) and (c) of this section, to receive the Washington college bound scholarship, a student must have received a high school equivalency certificate as provided in RCW 28B.50.536 or have graduated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286d899a317d48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e547add9404081" /><Relationship Type="http://schemas.openxmlformats.org/officeDocument/2006/relationships/footer" Target="/word/footer.xml" Id="R286d899a317d488d" /></Relationships>
</file>