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c1fbac59e4c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74</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Dolan, Nealey, Doglio, Springer, Frame, Riccelli, Appleton, Ryu, Ormsby, and Goodman)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which a bond levy may be increased; amending RCW 84.55.050;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government owned property is exempt from both property taxes and leasehold excise tax. The legislature further finds property tax exemptions lower the taxable assessed value within a district. The legislature further finds most of the state-owned buildings in Washington, including the state capitol, are located in Thurston county. The legislature further finds this imposes a disproportional burden on taxpayers and Thurston county. It is the legislature's objective to mitigate this burden by providing Thurston county the ability to increase a bond levy for a longer period of time with a voter approved lid lift.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r>
        <w:rPr>
          <w:u w:val="single"/>
        </w:rPr>
        <w:t xml:space="preserve">;</w:t>
      </w:r>
    </w:p>
    <w:p>
      <w:pPr>
        <w:spacing w:before="0" w:after="0" w:line="408" w:lineRule="exact"/>
        <w:ind w:left="0" w:right="0" w:firstLine="576"/>
        <w:jc w:val="left"/>
      </w:pPr>
      <w:r>
        <w:rPr>
          <w:u w:val="single"/>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u w:val="single"/>
        </w:rPr>
        <w:t xml:space="preserve">(ii) For districts other than a district under (c)(i) of this subsection</w:t>
      </w:r>
      <w:r>
        <w:rPr/>
        <w:t xml:space="preserve">,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f87db454413843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98d2ebf2648b0" /><Relationship Type="http://schemas.openxmlformats.org/officeDocument/2006/relationships/footer" Target="/word/footer.xml" Id="Rf87db454413843d2" /></Relationships>
</file>