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15fa3dc3e64c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Griffey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adding a new section to chapter 74.09 RCW;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of health must review the professional certification and training of health professionals participating in a community assistance referral and education program, review the certification and training requirements in other states with similar programs, and coordinate with the health care authority to link the certification requirements with the covered health care services recommended for payment in section 1 of this act. The department shall submit recommendations to the appropriate committees of the legislature for any changes and suggestions for implementation within six months of the development of the payment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cost-effectiveness review, in consultation with the health care authority, of the standards for reimbursement established in section 1 of this act. The review must evaluate the amount paid on behalf of eligible clients under chapter 74.09 RCW by the health care authority to fire departments for health care services that did not require an ambulance transport and the amount that would have been paid had the services been provided in a different care setting.</w:t>
      </w:r>
    </w:p>
    <w:p>
      <w:pPr>
        <w:spacing w:before="0" w:after="0" w:line="408" w:lineRule="exact"/>
        <w:ind w:left="0" w:right="0" w:firstLine="576"/>
        <w:jc w:val="left"/>
      </w:pPr>
      <w:r>
        <w:rPr/>
        <w:t xml:space="preserve">(2) The cost-effectiveness review must consider the savings realized by medical assistance programs under chapter 74.09 RCW as a result of fire departments providing health care services and make any recommendations for improving the cost-effectiveness of the standards for reimbursement and reducing the potential for excessive billing or billing for unnecessary services. If the review finds that the standards of reimbursement have not resulted in savings to the state's medical assistance programs, the joint legislative audit and review committee shall recommend the repeal of section 1 of this act.</w:t>
      </w:r>
    </w:p>
    <w:p>
      <w:pPr>
        <w:spacing w:before="0" w:after="0" w:line="408" w:lineRule="exact"/>
        <w:ind w:left="0" w:right="0" w:firstLine="576"/>
        <w:jc w:val="left"/>
      </w:pPr>
      <w:r>
        <w:rPr/>
        <w:t xml:space="preserve">(3) The joint legislative audit and review committee shall submit the cost-effectiveness review, including its findings and recommendations, to the fiscal committees and health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6b69acdb8414e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04d61b6d749fe" /><Relationship Type="http://schemas.openxmlformats.org/officeDocument/2006/relationships/footer" Target="/word/footer.xml" Id="R86b69acdb8414eec" /></Relationships>
</file>