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f86f6f34204c1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1401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1401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1401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Ortiz-Self, Stonier, Ryu, Peterson, Santos, Jinkins, Appleton, and Bergquist</w:t>
      </w:r>
    </w:p>
    <w:p/>
    <w:p>
      <w:r>
        <w:rPr>
          <w:t xml:space="preserve">Read first time 01/19/17.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removal of child welfare guardians ad litem; amending RCW 13.34.100;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integrity of court-appointed special advocates and volunteer guardians ad litem is necessary to protect the best interest of children in child welfare proceedings.</w:t>
      </w:r>
    </w:p>
    <w:p>
      <w:pPr>
        <w:spacing w:before="0" w:after="0" w:line="408" w:lineRule="exact"/>
        <w:ind w:left="0" w:right="0" w:firstLine="576"/>
        <w:jc w:val="left"/>
      </w:pPr>
      <w:r>
        <w:rPr/>
        <w:t xml:space="preserve">Although courts must be notified regarding the removal of a guardian ad litem from a county's registry pursuant to a grievance, there is no requirement that a county must act on that information. For that reason, the legislature intends to require counties to remove child welfare volunteer guardians ad litem from their registries when counties are notified that the person has been removed from another county's registry pursuant to the disposition of a grievance or if the court is otherwise made aware that a guardian ad litem has been found by a court to have made a materially false statement that he or she knows to be false during an official proceeding under oath.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100</w:t>
      </w:r>
      <w:r>
        <w:rPr/>
        <w:t xml:space="preserve"> and 2014 c 108 s 2 are each amended to read as follows:</w:t>
      </w:r>
    </w:p>
    <w:p>
      <w:pPr>
        <w:spacing w:before="0" w:after="0" w:line="408" w:lineRule="exact"/>
        <w:ind w:left="0" w:right="0" w:firstLine="576"/>
        <w:jc w:val="left"/>
      </w:pPr>
      <w:r>
        <w:rPr/>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an independent attorney in the proceedings. The court shall attempt to match a child with special needs with a guardian ad litem who has specific training or education related to the child's individual needs.</w:t>
      </w:r>
    </w:p>
    <w:p>
      <w:pPr>
        <w:spacing w:before="0" w:after="0" w:line="408" w:lineRule="exact"/>
        <w:ind w:left="0" w:right="0" w:firstLine="576"/>
        <w:jc w:val="left"/>
      </w:pPr>
      <w:r>
        <w:rPr/>
        <w:t xml:space="preserve">(2)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pPr>
        <w:spacing w:before="0" w:after="0" w:line="408" w:lineRule="exact"/>
        <w:ind w:left="0" w:right="0" w:firstLine="576"/>
        <w:jc w:val="left"/>
      </w:pPr>
      <w:r>
        <w:rPr/>
        <w:t xml:space="preserve">(3) Each guardian ad litem program shall maintain a background information record for each guardian ad litem in the program. The background information record shall include, but is not limited to, the following information:</w:t>
      </w:r>
    </w:p>
    <w:p>
      <w:pPr>
        <w:spacing w:before="0" w:after="0" w:line="408" w:lineRule="exact"/>
        <w:ind w:left="0" w:right="0" w:firstLine="576"/>
        <w:jc w:val="left"/>
      </w:pPr>
      <w:r>
        <w:rPr/>
        <w:t xml:space="preserve">(a) Level of formal education;</w:t>
      </w:r>
    </w:p>
    <w:p>
      <w:pPr>
        <w:spacing w:before="0" w:after="0" w:line="408" w:lineRule="exact"/>
        <w:ind w:left="0" w:right="0" w:firstLine="576"/>
        <w:jc w:val="left"/>
      </w:pPr>
      <w:r>
        <w:rPr/>
        <w:t xml:space="preserve">(b) General training related to the guardian ad litem's duties;</w:t>
      </w:r>
    </w:p>
    <w:p>
      <w:pPr>
        <w:spacing w:before="0" w:after="0" w:line="408" w:lineRule="exact"/>
        <w:ind w:left="0" w:right="0" w:firstLine="576"/>
        <w:jc w:val="left"/>
      </w:pPr>
      <w:r>
        <w:rPr/>
        <w:t xml:space="preserve">(c) Specific training related to issues potentially faced by children in the dependency system;</w:t>
      </w:r>
    </w:p>
    <w:p>
      <w:pPr>
        <w:spacing w:before="0" w:after="0" w:line="408" w:lineRule="exact"/>
        <w:ind w:left="0" w:right="0" w:firstLine="576"/>
        <w:jc w:val="left"/>
      </w:pPr>
      <w:r>
        <w:rPr/>
        <w:t xml:space="preserve">(d) Specific training or education related to child disability or developmental issues;</w:t>
      </w:r>
    </w:p>
    <w:p>
      <w:pPr>
        <w:spacing w:before="0" w:after="0" w:line="408" w:lineRule="exact"/>
        <w:ind w:left="0" w:right="0" w:firstLine="576"/>
        <w:jc w:val="left"/>
      </w:pPr>
      <w:r>
        <w:rPr/>
        <w:t xml:space="preserve">(e) Number of years' experience as a guardian ad litem;</w:t>
      </w:r>
    </w:p>
    <w:p>
      <w:pPr>
        <w:spacing w:before="0" w:after="0" w:line="408" w:lineRule="exact"/>
        <w:ind w:left="0" w:right="0" w:firstLine="576"/>
        <w:jc w:val="left"/>
      </w:pPr>
      <w:r>
        <w:rPr/>
        <w:t xml:space="preserve">(f) Number of appointments as a guardian ad litem and the county or counties of appointment;</w:t>
      </w:r>
    </w:p>
    <w:p>
      <w:pPr>
        <w:spacing w:before="0" w:after="0" w:line="408" w:lineRule="exact"/>
        <w:ind w:left="0" w:right="0" w:firstLine="576"/>
        <w:jc w:val="left"/>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spacing w:before="0" w:after="0" w:line="408" w:lineRule="exact"/>
        <w:ind w:left="0" w:right="0" w:firstLine="576"/>
        <w:jc w:val="left"/>
      </w:pPr>
      <w:r>
        <w:rPr/>
        <w:t xml:space="preserve">(h) Founded allegations of abuse or neglect as defined in RCW 26.44.020;</w:t>
      </w:r>
    </w:p>
    <w:p>
      <w:pPr>
        <w:spacing w:before="0" w:after="0" w:line="408" w:lineRule="exact"/>
        <w:ind w:left="0" w:right="0" w:firstLine="576"/>
        <w:jc w:val="left"/>
      </w:pPr>
      <w:r>
        <w:rPr/>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must include a national check from the federal bureau of investigation based on the submission of fingerprints; and</w:t>
      </w:r>
    </w:p>
    <w:p>
      <w:pPr>
        <w:spacing w:before="0" w:after="0" w:line="408" w:lineRule="exact"/>
        <w:ind w:left="0" w:right="0" w:firstLine="576"/>
        <w:jc w:val="left"/>
      </w:pPr>
      <w:r>
        <w:rPr/>
        <w:t xml:space="preserve">(j) Criminal history, as defined in RCW 9.94A.030, for the period covering ten years prior to the appointment.</w:t>
      </w:r>
    </w:p>
    <w:p>
      <w:pPr>
        <w:spacing w:before="0" w:after="0" w:line="408" w:lineRule="exact"/>
        <w:ind w:left="0" w:right="0" w:firstLine="576"/>
        <w:jc w:val="left"/>
      </w:pPr>
      <w:r>
        <w:rPr/>
        <w:t xml:space="preserve">The background information record shall be updated annually.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pPr>
        <w:spacing w:before="0" w:after="0" w:line="408" w:lineRule="exact"/>
        <w:ind w:left="0" w:right="0" w:firstLine="576"/>
        <w:jc w:val="left"/>
      </w:pPr>
      <w:r>
        <w:rPr/>
        <w:t xml:space="preserve">Upon appointment, the guardian ad litem, or guardian ad litem program, shall provide the parties or their attorneys with a copy of the background information record. The portion of the background information record containing the results of the criminal background check and the criminal history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spacing w:before="0" w:after="0" w:line="408" w:lineRule="exact"/>
        <w:ind w:left="0" w:right="0" w:firstLine="576"/>
        <w:jc w:val="left"/>
      </w:pPr>
      <w:r>
        <w:rPr/>
        <w:t xml:space="preserve">(4) The appointment of the guardian ad litem shall remain in effect until the court discharges the appointment or no longer has jurisdiction, whichever comes first. The guardian ad litem may also be discharged upon entry of an order of guardianship.</w:t>
      </w:r>
    </w:p>
    <w:p>
      <w:pPr>
        <w:spacing w:before="0" w:after="0" w:line="408" w:lineRule="exact"/>
        <w:ind w:left="0" w:right="0" w:firstLine="576"/>
        <w:jc w:val="left"/>
      </w:pPr>
      <w:r>
        <w:rPr/>
        <w:t xml:space="preserve">(5) A guardian ad litem through an attorney,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pPr>
        <w:spacing w:before="0" w:after="0" w:line="408" w:lineRule="exact"/>
        <w:ind w:left="0" w:right="0" w:firstLine="576"/>
        <w:jc w:val="left"/>
      </w:pPr>
      <w:r>
        <w:rPr/>
        <w:t xml:space="preserve">(6)(a) The court must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t xml:space="preserve">The court must appoint an attorney for a child when there is no remaining parent with parental rights for six months or longer prior to July 1, 2014, if the child is not already represented.</w:t>
      </w:r>
    </w:p>
    <w:p>
      <w:pPr>
        <w:spacing w:before="0" w:after="0" w:line="408" w:lineRule="exact"/>
        <w:ind w:left="0" w:right="0" w:firstLine="576"/>
        <w:jc w:val="left"/>
      </w:pPr>
      <w:r>
        <w:rPr/>
        <w:t xml:space="preserve">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(b) Legal services provided by an attorney appointed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(c)(i) Subject to the availability of amounts appropriated for this specific purpose, the state shall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(c)(ii) of this subsection.</w:t>
      </w:r>
    </w:p>
    <w:p>
      <w:pPr>
        <w:spacing w:before="0" w:after="0" w:line="408" w:lineRule="exact"/>
        <w:ind w:left="0" w:right="0" w:firstLine="576"/>
        <w:jc w:val="left"/>
      </w:pPr>
      <w:r>
        <w:rPr/>
        <w:t xml:space="preserve">(ii)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(c)(i) of this subsection and RCW 2.53.045.</w:t>
      </w:r>
    </w:p>
    <w:p>
      <w:pPr>
        <w:spacing w:before="0" w:after="0" w:line="408" w:lineRule="exact"/>
        <w:ind w:left="0" w:right="0" w:firstLine="576"/>
        <w:jc w:val="left"/>
      </w:pPr>
      <w:r>
        <w:rPr/>
        <w:t xml:space="preserve">(iii) The office of civil legal aid is responsible for implementation of (c)(i) and (ii) of this subsection as provided in RCW 2.53.045.</w:t>
      </w:r>
    </w:p>
    <w:p>
      <w:pPr>
        <w:spacing w:before="0" w:after="0" w:line="408" w:lineRule="exact"/>
        <w:ind w:left="0" w:right="0" w:firstLine="576"/>
        <w:jc w:val="left"/>
      </w:pPr>
      <w:r>
        <w:rPr/>
        <w:t xml:space="preserve">(7)(a)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(7)(b) shall be construed to change or alter the confidentiality provisions of RCW 13.50.100.</w:t>
      </w:r>
    </w:p>
    <w:p>
      <w:pPr>
        <w:spacing w:before="0" w:after="0" w:line="408" w:lineRule="exact"/>
        <w:ind w:left="0" w:right="0" w:firstLine="576"/>
        <w:jc w:val="left"/>
      </w:pPr>
      <w:r>
        <w:rPr/>
        <w:t xml:space="preserve">(c) Pursuant to this subsection,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spacing w:before="0" w:after="0" w:line="408" w:lineRule="exact"/>
        <w:ind w:left="0" w:right="0" w:firstLine="576"/>
        <w:jc w:val="left"/>
      </w:pPr>
      <w:r>
        <w:rPr/>
        <w:t xml:space="preserve">(i) The date of the child's twelfth birthday;</w:t>
      </w:r>
    </w:p>
    <w:p>
      <w:pPr>
        <w:spacing w:before="0" w:after="0" w:line="408" w:lineRule="exact"/>
        <w:ind w:left="0" w:right="0" w:firstLine="576"/>
        <w:jc w:val="left"/>
      </w:pPr>
      <w:r>
        <w:rPr/>
        <w:t xml:space="preserve">(ii) Assignment of a case involving a child age twelve or older; or</w:t>
      </w:r>
    </w:p>
    <w:p>
      <w:pPr>
        <w:spacing w:before="0" w:after="0" w:line="408" w:lineRule="exact"/>
        <w:ind w:left="0" w:right="0" w:firstLine="576"/>
        <w:jc w:val="left"/>
      </w:pPr>
      <w:r>
        <w:rPr/>
        <w:t xml:space="preserve">(iii) July 1, 2010, for a child who turned twelve years old before July 1, 2010.</w:t>
      </w:r>
    </w:p>
    <w:p>
      <w:pPr>
        <w:spacing w:before="0" w:after="0" w:line="408" w:lineRule="exact"/>
        <w:ind w:left="0" w:right="0" w:firstLine="576"/>
        <w:jc w:val="left"/>
      </w:pPr>
      <w:r>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twelfth birthday;</w:t>
      </w:r>
    </w:p>
    <w:p>
      <w:pPr>
        <w:spacing w:before="0" w:after="0" w:line="408" w:lineRule="exact"/>
        <w:ind w:left="0" w:right="0" w:firstLine="576"/>
        <w:jc w:val="left"/>
      </w:pPr>
      <w:r>
        <w:rPr/>
        <w:t xml:space="preserve">(ii) The date that a dependency petition is filed pursuant to this chapter on a child age twelve or older; or</w:t>
      </w:r>
    </w:p>
    <w:p>
      <w:pPr>
        <w:spacing w:before="0" w:after="0" w:line="408" w:lineRule="exact"/>
        <w:ind w:left="0" w:right="0" w:firstLine="576"/>
        <w:jc w:val="left"/>
      </w:pPr>
      <w:r>
        <w:rPr/>
        <w:t xml:space="preserve">(iii) July 1, 2010, for a child who turned twelve years old before July 1, 2010;</w:t>
      </w:r>
    </w:p>
    <w:p>
      <w:pPr>
        <w:spacing w:before="0" w:after="0" w:line="408" w:lineRule="exact"/>
        <w:ind w:left="0" w:right="0" w:firstLine="0"/>
        <w:jc w:val="left"/>
      </w:pPr>
      <w:r>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spacing w:before="0" w:after="0" w:line="408" w:lineRule="exact"/>
        <w:ind w:left="0" w:right="0" w:firstLine="576"/>
        <w:jc w:val="left"/>
      </w:pPr>
      <w:r>
        <w:rPr/>
        <w:t xml:space="preserve">(8) For the purposes of child abuse prevention and treatment act (42 U.S.C. Secs. 5101 et seq.) grants to this state under P.L. 93-247, or any related state or federal legislation, a person appointed pursuant to this section shall be deemed a guardian ad litem.</w:t>
      </w:r>
    </w:p>
    <w:p>
      <w:pPr>
        <w:spacing w:before="0" w:after="0" w:line="408" w:lineRule="exact"/>
        <w:ind w:left="0" w:right="0" w:firstLine="576"/>
        <w:jc w:val="left"/>
      </w:pPr>
      <w:r>
        <w:rPr/>
        <w:t xml:space="preserve">(9)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pPr>
        <w:spacing w:before="0" w:after="0" w:line="408" w:lineRule="exact"/>
        <w:ind w:left="0" w:right="0" w:firstLine="576"/>
        <w:jc w:val="left"/>
      </w:pPr>
      <w:r>
        <w:rPr/>
        <w:t xml:space="preserve">(10)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spacing w:before="0" w:after="0" w:line="408" w:lineRule="exact"/>
        <w:ind w:left="0" w:right="0" w:firstLine="576"/>
        <w:jc w:val="left"/>
      </w:pPr>
      <w:r>
        <w:rPr>
          <w:u w:val="single"/>
        </w:rPr>
        <w:t xml:space="preserve">(11) The court shall remove any person from serving as a court-appointed special advocate or volunteer guardian ad litem if the court is notified that the person has been removed from another county's registry pursuant to the disposition of a grievance or if the court is otherwise made aware that the individual was found by a court to have made a materially false statement that he or she knows to be false during an official proceeding under oath.</w:t>
      </w:r>
    </w:p>
    <w:p/>
    <w:p>
      <w:pPr>
        <w:jc w:val="center"/>
      </w:pPr>
      <w:r>
        <w:rPr>
          <w:b/>
        </w:rPr>
        <w:t>--- END ---</w:t>
      </w:r>
    </w:p>
    <w:sectPr>
      <w:pgNumType w:start="1"/>
      <w:footerReference xmlns:r="http://schemas.openxmlformats.org/officeDocument/2006/relationships" r:id="R28b57dc115154a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d46d310a6c4ad0" /><Relationship Type="http://schemas.openxmlformats.org/officeDocument/2006/relationships/footer" Target="/word/footer.xml" Id="R28b57dc115154a58" /></Relationships>
</file>