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10d054511f46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1467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80</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Local Government (originally sponsored by Representatives Stokesbary, Peterson, Griffey, Robinson, Muri, McBride, Rodne, Fitzgibbon, and Tharinger)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establishing parity, equalizing certain provisions with existing laws governing fire protection districts, and clarifying the formation process; amending RCW 52.26.220, 52.26.230, 84.55.092, 52.18.050, 52.18.010, 52.26.180, 52.26.030, 84.52.043, 84.52.043, 84.52.125, and 52.26.070; reenacting and amending RCW 52.26.020, 84.52.010, and 84.52.010; creating a new section;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t xml:space="preserve"> </w:t>
      </w:r>
      <w:r>
        <w:rPr>
          <w:u w:val="single"/>
        </w:rPr>
        <w:t xml:space="preserve">(a) The initial imposition of a</w:t>
      </w:r>
      <w:r>
        <w:rPr/>
        <w:t xml:space="preserve"> benefit charge authorized by this chapter </w:t>
      </w:r>
      <w:r>
        <w:t>((</w:t>
      </w:r>
      <w:r>
        <w:rPr>
          <w:strike/>
        </w:rPr>
        <w:t xml:space="preserve">is not effective unless a proposition to impose the benefit charge is approved by a</w:t>
      </w:r>
      <w:r>
        <w:t>))</w:t>
      </w:r>
      <w:r>
        <w:rPr/>
        <w:t xml:space="preserve"> </w:t>
      </w:r>
      <w:r>
        <w:rPr>
          <w:u w:val="single"/>
        </w:rPr>
        <w:t xml:space="preserve">must be approved by not less than</w:t>
      </w:r>
      <w:r>
        <w:rPr/>
        <w:t xml:space="preserve"> sixty percent majority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t xml:space="preserve"> </w:t>
      </w:r>
      <w:r>
        <w:rPr>
          <w:u w:val="single"/>
        </w:rPr>
        <w:t xml:space="preserve">B</w:t>
      </w:r>
      <w:r>
        <w:rPr/>
        <w:t xml:space="preserve">allot </w:t>
      </w:r>
      <w:r>
        <w:t>((</w:t>
      </w:r>
      <w:r>
        <w:rPr>
          <w:strike/>
        </w:rPr>
        <w:t xml:space="preserve">measure that contains</w:t>
      </w:r>
      <w:r>
        <w:t>))</w:t>
      </w:r>
      <w:r>
        <w:rPr/>
        <w:t xml:space="preserve"> </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t xml:space="preserve"> </w:t>
      </w:r>
      <w:r>
        <w:rPr>
          <w:u w:val="single"/>
        </w:rPr>
        <w:t xml:space="preserve">are</w:t>
      </w:r>
      <w:r>
        <w:rPr/>
        <w:t xml:space="preserve"> approved by the voters pursuant to RCW 52.26.060 </w:t>
      </w:r>
      <w:r>
        <w:t>((</w:t>
      </w:r>
      <w:r>
        <w:rPr>
          <w:strike/>
        </w:rPr>
        <w:t xml:space="preserve">meets</w:t>
      </w:r>
      <w:r>
        <w:t>))</w:t>
      </w:r>
      <w:r>
        <w:rPr/>
        <w:t xml:space="preserve"> </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t xml:space="preserve"> </w:t>
      </w:r>
      <w:r>
        <w:rPr>
          <w:u w:val="single"/>
        </w:rPr>
        <w:t xml:space="preserve">(a) The continued imposition of a benefit charge authorized by this chapter may be approved for six consecutive years. A ballot measure calling for the continued imposition of a benefit charge for six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w:t>
      </w:r>
      <w:r>
        <w:t>((</w:t>
      </w:r>
      <w:r>
        <w:rPr>
          <w:strike/>
        </w:rPr>
        <w:t xml:space="preserve">. . . . (insert number of years not to exceed</w:t>
      </w:r>
      <w:r>
        <w:t>))</w:t>
      </w:r>
      <w:r>
        <w:rPr/>
        <w:t xml:space="preserve"> six</w:t>
      </w:r>
      <w:r>
        <w:t>((</w:t>
      </w:r>
      <w:r>
        <w:rPr>
          <w:strike/>
        </w:rPr>
        <w:t xml:space="preserve">)</w:t>
      </w:r>
      <w:r>
        <w:t>))</w:t>
      </w:r>
      <w:r>
        <w:rPr/>
        <w:t xml:space="preserve"> </w:t>
      </w:r>
      <w:r>
        <w:rPr>
          <w:u w:val="single"/>
        </w:rPr>
        <w:t xml:space="preserve">consecutive</w:t>
      </w:r>
      <w:r>
        <w:rPr/>
        <w:t xml:space="preserve">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t xml:space="preserve"> </w:t>
      </w:r>
      <w:r>
        <w:rPr>
          <w:u w:val="single"/>
        </w:rPr>
        <w:t xml:space="preserve">may be approved for six consecutive years</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t xml:space="preserve"> </w:t>
      </w:r>
      <w:r>
        <w:rPr>
          <w:u w:val="single"/>
        </w:rPr>
        <w:t xml:space="preserve">A ballot measure calling for the continued imposition of a benefit charge for six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each year for </w:t>
      </w:r>
      <w:r>
        <w:t>((</w:t>
      </w:r>
      <w:r>
        <w:rPr>
          <w:strike/>
        </w:rPr>
        <w:t xml:space="preserve">. . . . (insert number of years not to exceed six)</w:t>
      </w:r>
      <w:r>
        <w:t>))</w:t>
      </w:r>
      <w:r>
        <w:rPr/>
        <w:t xml:space="preserve"> </w:t>
      </w:r>
      <w:r>
        <w:rPr>
          <w:u w:val="single"/>
        </w:rPr>
        <w:t xml:space="preserve">six consecutive</w:t>
      </w:r>
      <w:r>
        <w:rPr/>
        <w:t xml:space="preserve">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010</w:t>
      </w:r>
      <w:r>
        <w:rPr/>
        <w:t xml:space="preserve"> and 1998 c 16 s 1 are each amended to read as follows:</w:t>
      </w:r>
    </w:p>
    <w:p>
      <w:pPr>
        <w:spacing w:before="0" w:after="0" w:line="408" w:lineRule="exact"/>
        <w:ind w:left="0" w:right="0" w:firstLine="576"/>
        <w:jc w:val="left"/>
      </w:pPr>
      <w:r>
        <w:rPr>
          <w:u w:val="single"/>
        </w:rPr>
        <w:t xml:space="preserve">(1) Pursuant to an approved initial or continued benefit charge authorized under RCW 52.18.050, t</w:t>
      </w:r>
      <w:r>
        <w:rPr/>
        <w:t xml:space="preserve">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 the properties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benefit charge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 and</w:t>
      </w:r>
    </w:p>
    <w:p>
      <w:pPr>
        <w:spacing w:before="0" w:after="0" w:line="408" w:lineRule="exact"/>
        <w:ind w:left="0" w:right="0" w:firstLine="576"/>
        <w:jc w:val="left"/>
      </w:pPr>
      <w:r>
        <w:rPr>
          <w:u w:val="single"/>
        </w:rPr>
        <w:t xml:space="preserve">(b) Any of the following tax-exempt properties, provided such entity is not required to pay a fire protection charge under subsection (8) of this section:</w:t>
      </w:r>
    </w:p>
    <w:p>
      <w:pPr>
        <w:spacing w:before="0" w:after="0" w:line="408" w:lineRule="exact"/>
        <w:ind w:left="0" w:right="0" w:firstLine="576"/>
        <w:jc w:val="left"/>
      </w:pPr>
      <w:r>
        <w:rPr>
          <w:u w:val="single"/>
        </w:rPr>
        <w:t xml:space="preserve">(i) Property of housing authorities that is exempt from property taxes under RCW 35.82.210;</w:t>
      </w:r>
    </w:p>
    <w:p>
      <w:pPr>
        <w:spacing w:before="0" w:after="0" w:line="408" w:lineRule="exact"/>
        <w:ind w:left="0" w:right="0" w:firstLine="576"/>
        <w:jc w:val="left"/>
      </w:pPr>
      <w:r>
        <w:rPr>
          <w:u w:val="single"/>
        </w:rPr>
        <w:t xml:space="preserve">(ii)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(iii) Property of nonprofit homes for the aging that is exempt from property taxes under RCW 84.36.041;</w:t>
      </w:r>
    </w:p>
    <w:p>
      <w:pPr>
        <w:spacing w:before="0" w:after="0" w:line="408" w:lineRule="exact"/>
        <w:ind w:left="0" w:right="0" w:firstLine="576"/>
        <w:jc w:val="left"/>
      </w:pPr>
      <w:r>
        <w:rPr>
          <w:u w:val="single"/>
        </w:rPr>
        <w:t xml:space="preserve">(iv)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(v)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(vi) Property of the state housing finance commission that is exempt from property taxes under RCW 84.36.135; and</w:t>
      </w:r>
    </w:p>
    <w:p>
      <w:pPr>
        <w:spacing w:before="0" w:after="0" w:line="408" w:lineRule="exact"/>
        <w:ind w:left="0" w:right="0" w:firstLine="576"/>
        <w:jc w:val="left"/>
      </w:pPr>
      <w:r>
        <w:rPr>
          <w:u w:val="single"/>
        </w:rPr>
        <w:t xml:space="preserve">(vii)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 A benefit charge may apply to a tax-exempt property included in subsection (2)(b) of this section if the tax-exempt property is located in a fire protection district that:</w:t>
      </w:r>
    </w:p>
    <w:p>
      <w:pPr>
        <w:spacing w:before="0" w:after="0" w:line="408" w:lineRule="exact"/>
        <w:ind w:left="0" w:right="0" w:firstLine="576"/>
        <w:jc w:val="left"/>
      </w:pPr>
      <w:r>
        <w:rPr>
          <w:u w:val="single"/>
        </w:rPr>
        <w:t xml:space="preserve">(a) Is less than four square miles in size;</w:t>
      </w:r>
    </w:p>
    <w:p>
      <w:pPr>
        <w:spacing w:before="0" w:after="0" w:line="408" w:lineRule="exact"/>
        <w:ind w:left="0" w:right="0" w:firstLine="576"/>
        <w:jc w:val="left"/>
      </w:pPr>
      <w:r>
        <w:rPr>
          <w:u w:val="single"/>
        </w:rPr>
        <w:t xml:space="preserve">(b) Has approved a benefit charge prior to the effective date of this section; and</w:t>
      </w:r>
    </w:p>
    <w:p>
      <w:pPr>
        <w:spacing w:before="0" w:after="0" w:line="408" w:lineRule="exact"/>
        <w:ind w:left="0" w:right="0" w:firstLine="576"/>
        <w:jc w:val="left"/>
      </w:pPr>
      <w:r>
        <w:rPr>
          <w:u w:val="single"/>
        </w:rPr>
        <w:t xml:space="preserve">(c) Has a population exceeding nineteen thousand people as of the effective date of this section, as determined by the office of financial management.</w:t>
      </w:r>
    </w:p>
    <w:p>
      <w:pPr>
        <w:spacing w:before="0" w:after="0" w:line="408" w:lineRule="exact"/>
        <w:ind w:left="0" w:right="0" w:firstLine="576"/>
        <w:jc w:val="left"/>
      </w:pPr>
      <w:r>
        <w:rPr>
          <w:u w:val="single"/>
        </w:rPr>
        <w:t xml:space="preserve">(4) A limited benefit charge may apply to property or improvements owned by a Christmas tree grower as defined in RCW 15.13.250(4) so long as the property or improvement is located on land that has been approved as farm and agricultural land with standing crops under chapter 84.34 RCW. For such property or improvement, a benefit charge may not exceed the reduction in property tax that results from the imposition of a benefit charge, as required under RCW 52.18.065.</w:t>
      </w:r>
    </w:p>
    <w:p>
      <w:pPr>
        <w:spacing w:before="0" w:after="0" w:line="408" w:lineRule="exact"/>
        <w:ind w:left="0" w:right="0" w:firstLine="576"/>
        <w:jc w:val="left"/>
      </w:pPr>
      <w:r>
        <w:rPr>
          <w:u w:val="single"/>
        </w:rPr>
        <w:t xml:space="preserve">(5)</w:t>
      </w:r>
      <w:r>
        <w:rPr/>
        <w:t xml:space="preserve"> 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pPr>
        <w:spacing w:before="0" w:after="0" w:line="408" w:lineRule="exact"/>
        <w:ind w:left="0" w:right="0" w:firstLine="576"/>
        <w:jc w:val="left"/>
      </w:pPr>
      <w:r>
        <w:rPr>
          <w:u w:val="single"/>
        </w:rPr>
        <w:t xml:space="preserve">(6)</w:t>
      </w:r>
      <w:r>
        <w:rPr/>
        <w:t xml:space="preserve"> 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pPr>
        <w:spacing w:before="0" w:after="0" w:line="408" w:lineRule="exact"/>
        <w:ind w:left="0" w:right="0" w:firstLine="576"/>
        <w:jc w:val="left"/>
      </w:pPr>
      <w:r>
        <w:rPr>
          <w:u w:val="single"/>
        </w:rPr>
        <w:t xml:space="preserve">(7)</w:t>
      </w:r>
      <w:r>
        <w:rPr/>
        <w:t xml:space="preserve"> 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pPr>
        <w:spacing w:before="0" w:after="0" w:line="408" w:lineRule="exact"/>
        <w:ind w:left="0" w:right="0" w:firstLine="576"/>
        <w:jc w:val="left"/>
      </w:pPr>
      <w:r>
        <w:rPr>
          <w:u w:val="single"/>
        </w:rPr>
        <w:t xml:space="preserve">(8)(a) At the annual review of the fire benefit charge mandated by RCW 52.18.060(2),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board of fire commissioners as outlined in RCW 52.18.060(2);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180</w:t>
      </w:r>
      <w:r>
        <w:rPr/>
        <w:t xml:space="preserve"> and 2004 c 129 s 24 are each amended to read as follows:</w:t>
      </w:r>
    </w:p>
    <w:p>
      <w:pPr>
        <w:spacing w:before="0" w:after="0" w:line="408" w:lineRule="exact"/>
        <w:ind w:left="0" w:right="0" w:firstLine="576"/>
        <w:jc w:val="left"/>
      </w:pPr>
      <w:r>
        <w:rP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w:t>
      </w:r>
    </w:p>
    <w:p>
      <w:pPr>
        <w:spacing w:before="0" w:after="0" w:line="408" w:lineRule="exact"/>
        <w:ind w:left="0" w:right="0" w:firstLine="576"/>
        <w:jc w:val="left"/>
      </w:pPr>
      <w:r>
        <w:rPr>
          <w:u w:val="single"/>
        </w:rPr>
        <w:t xml:space="preserve">(2)</w:t>
      </w:r>
      <w:r>
        <w:rPr/>
        <w:t xml:space="preserve"> A benefit charge does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p>
    <w:p>
      <w:pPr>
        <w:spacing w:before="0" w:after="0" w:line="408" w:lineRule="exact"/>
        <w:ind w:left="0" w:right="0" w:firstLine="576"/>
        <w:jc w:val="left"/>
      </w:pPr>
      <w:r>
        <w:rPr>
          <w:u w:val="single"/>
        </w:rPr>
        <w:t xml:space="preserve">(3) A limited benefit charge may apply to property or improvements owned by a Christmas tree grower as defined in RCW 15.13.250(4) so long as the property or improvement is located on land that has been approved as farm and agricultural land with standing crops under chapter 84.34 RCW. For such property or improvement, a benefit charge may not exceed the reduction in property tax that results from the imposition of a benefit charge, as required under RCW 52.26.240.</w:t>
      </w:r>
    </w:p>
    <w:p>
      <w:pPr>
        <w:spacing w:before="0" w:after="0" w:line="408" w:lineRule="exact"/>
        <w:ind w:left="0" w:right="0" w:firstLine="576"/>
        <w:jc w:val="left"/>
      </w:pPr>
      <w:r>
        <w:rPr>
          <w:u w:val="single"/>
        </w:rPr>
        <w:t xml:space="preserve">(4)</w:t>
      </w:r>
      <w:r>
        <w:rPr/>
        <w:t xml:space="preserve">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pPr>
        <w:spacing w:before="0" w:after="0" w:line="408" w:lineRule="exact"/>
        <w:ind w:left="0" w:right="0" w:firstLine="576"/>
        <w:jc w:val="left"/>
      </w:pPr>
      <w:r>
        <w:t>((</w:t>
      </w:r>
      <w:r>
        <w:rPr>
          <w:strike/>
        </w:rPr>
        <w:t xml:space="preserve">(4)</w:t>
      </w:r>
      <w:r>
        <w:t>))</w:t>
      </w:r>
      <w:r>
        <w:rPr/>
        <w:t xml:space="preserve"> </w:t>
      </w:r>
      <w:r>
        <w:rPr>
          <w:u w:val="single"/>
        </w:rPr>
        <w:t xml:space="preserve">(7)(a) At the annual review of the fire benefit charge mandated by RCW 52.26.230(2),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governing board of the authority as outlined in RCW 52.26.230(2);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0" w:after="0" w:line="408" w:lineRule="exact"/>
        <w:ind w:left="0" w:right="0" w:firstLine="576"/>
        <w:jc w:val="left"/>
      </w:pPr>
      <w:r>
        <w:rPr>
          <w:u w:val="single"/>
        </w:rPr>
        <w:t xml:space="preserve">(8)</w:t>
      </w:r>
      <w:r>
        <w:rPr/>
        <w:t xml:space="preserve"> For the purposes of this section and RCW 52.26.190 through 52.26.270, the following definitions apply:</w:t>
      </w:r>
    </w:p>
    <w:p>
      <w:pPr>
        <w:spacing w:before="0" w:after="0" w:line="408" w:lineRule="exact"/>
        <w:ind w:left="0" w:right="0" w:firstLine="576"/>
        <w:jc w:val="left"/>
      </w:pPr>
      <w:r>
        <w:rPr/>
        <w:t xml:space="preserve">(a)(i) "Personal property" includes every form of tangible personal property including, but not limited to, all goods, chattels, stock in trade, estates, or crops.</w:t>
      </w:r>
    </w:p>
    <w:p>
      <w:pPr>
        <w:spacing w:before="0" w:after="0" w:line="408" w:lineRule="exact"/>
        <w:ind w:left="0" w:right="0" w:firstLine="576"/>
        <w:jc w:val="left"/>
      </w:pPr>
      <w:r>
        <w:rPr/>
        <w:t xml:space="preserve">(ii) "Personal property" does not include any personal property used for farming, field crops, farm equipment, or livestock.</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324 and 2015 3rd sp.s. c 24 s 404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the authority is formed on the </w:t>
      </w:r>
      <w:r>
        <w:rPr>
          <w:u w:val="single"/>
        </w:rPr>
        <w:t xml:space="preserve">effective date as set forth in the plan or the</w:t>
      </w:r>
      <w:r>
        <w:rPr/>
        <w:t xml:space="preserve"> next January 1st or July 1st, whichever occurs first. The appropriate county election officials shall, within fifteen days of the final certification of the election results, publish a notice in a newspaper or newspapers of general circulation in the authority declaring the authority formed.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apply to benefit charges approved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9 through 13 of this act apply to property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 and 12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d77dd910d4444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bfc62028d489b" /><Relationship Type="http://schemas.openxmlformats.org/officeDocument/2006/relationships/footer" Target="/word/footer.xml" Id="R3d77dd910d44446d" /></Relationships>
</file>