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b12cedc3ef46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1508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19, 2018</w:t>
            </w:r>
          </w:p>
          <w:p>
            <w:pPr>
              <w:ind w:left="0" w:right="0" w:firstLine="360"/>
            </w:pPr>
            <w:r>
              <w:t xml:space="preserve">Yeas </w:t>
              <w:t xml:space="preserve">87</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31, 2018</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1508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1508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Stonier, Dolan, Ortiz-Self, Riccelli, Orwall, Peterson, Sawyer, Doglio, Gregerson, Slatter, Frame, Macri, Bergquist, Senn, Ryu, Kloba, Stanford, Sells, Farrell, Lovick, McBride, Pollet, Hudgins, Jinkins, Kagi, Appleton, Goodman, Tharinger, Clibborn, Ormsby, Cody, Santos, Fey, and Pettigrew)</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readiness through meal and nutrition programs; amending RCW 28A.150.205 and 28A.235.150; adding new sections to chapter 28A.235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2019-20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2019-20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By December 1, 2018, and as needed thereafter, the office of the superintendent of public instruction must develop and distribute best practices and provide technical assistance to school districts on strategies for selecting food items that are low in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breakfast after the bell programs under this section, including the provision of breakfast, within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2019,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u w:val="single"/>
        </w:rPr>
        <w:t xml:space="preserve">(1)</w:t>
      </w:r>
      <w:r>
        <w:rPr/>
        <w:t xml:space="preserve">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w:t>
      </w:r>
    </w:p>
    <w:p>
      <w:pPr>
        <w:spacing w:before="0" w:after="0" w:line="408" w:lineRule="exact"/>
        <w:ind w:left="0" w:right="0" w:firstLine="576"/>
        <w:jc w:val="left"/>
      </w:pPr>
      <w:r>
        <w:rPr>
          <w:u w:val="single"/>
        </w:rPr>
        <w:t xml:space="preserve">(2)(a) If students are provided the opportunity to engage in educational activity that is part of the regular instructional program concurrently with the consumption of breakfast, the period of time designated for student participation in breakfast after the bell, as defined in section 2 of this act, must be considered instructional hours.</w:t>
      </w:r>
    </w:p>
    <w:p>
      <w:pPr>
        <w:spacing w:before="0" w:after="0" w:line="408" w:lineRule="exact"/>
        <w:ind w:left="0" w:right="0" w:firstLine="576"/>
        <w:jc w:val="left"/>
      </w:pPr>
      <w:r>
        <w:rPr>
          <w:u w:val="single"/>
        </w:rPr>
        <w:t xml:space="preserve">(b) Breakfast after the bell programs, as defined in section 2 of this act, including the provision of breakfast, are not considered part of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2018 (sections 2 through 4 of this act) only in years in which funding is specifically provided for the purposes of chapter . . ., Laws of 2018 (this act), referencing chapter . . . , Laws of 2018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2018.</w:t>
      </w:r>
    </w:p>
    <w:p/>
    <w:p>
      <w:pPr>
        <w:jc w:val="center"/>
      </w:pPr>
      <w:r>
        <w:rPr>
          <w:b/>
        </w:rPr>
        <w:t>--- END ---</w:t>
      </w:r>
    </w:p>
    <w:sectPr>
      <w:pgNumType w:start="1"/>
      <w:footerReference xmlns:r="http://schemas.openxmlformats.org/officeDocument/2006/relationships" r:id="Rf8fbec5a495845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e958265a544b9" /><Relationship Type="http://schemas.openxmlformats.org/officeDocument/2006/relationships/footer" Target="/word/footer.xml" Id="Rf8fbec5a49584504" /></Relationships>
</file>