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79ed77f804a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Stambaugh, Doglio, Vick, Hayes, Sells, and Pike)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The contractor may withhold the subcontractor's portion of the bond premium. Within thirty days of receipt of the request, the contractor shall provide and the public body shall accept a bond meeting these requirements unless the public body can demonstrate good cause for refusing to accept it, the bond is not commercially available,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170db0e69a3d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4ad4fef004199" /><Relationship Type="http://schemas.openxmlformats.org/officeDocument/2006/relationships/footer" Target="/word/footer.xml" Id="R170db0e69a3d42a2" /></Relationships>
</file>