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cbc61cc78714d9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1593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20, 2017</w:t>
            </w:r>
          </w:p>
          <w:p>
            <w:pPr>
              <w:ind w:left="0" w:right="0" w:firstLine="360"/>
            </w:pPr>
            <w:r>
              <w:t xml:space="preserve">Yeas </w:t>
              <w:t xml:space="preserve">95</w:t>
            </w:r>
            <w:r>
              <w:t xml:space="preserve">  Nays </w:t>
              <w:t xml:space="preserve">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4,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1593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1593</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Vick and Kirby</w:t>
      </w:r>
    </w:p>
    <w:p/>
    <w:p>
      <w:r>
        <w:rPr>
          <w:t xml:space="preserve">Read first time 01/24/17.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small securities offerings; amending RCW 21.20.880; and repealing RCW 21.20.883 and 21.20.886.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21</w:t>
      </w:r>
      <w:r>
        <w:rPr/>
        <w:t xml:space="preserve">.</w:t>
      </w:r>
      <w:r>
        <w:t xml:space="preserve">20</w:t>
      </w:r>
      <w:r>
        <w:rPr/>
        <w:t xml:space="preserve">.</w:t>
      </w:r>
      <w:r>
        <w:t xml:space="preserve">880</w:t>
      </w:r>
      <w:r>
        <w:rPr/>
        <w:t xml:space="preserve"> and 2014 c 144 s 3 are each amended to read as follows:</w:t>
      </w:r>
    </w:p>
    <w:p>
      <w:pPr>
        <w:spacing w:before="0" w:after="0" w:line="408" w:lineRule="exact"/>
        <w:ind w:left="0" w:right="0" w:firstLine="576"/>
        <w:jc w:val="left"/>
      </w:pPr>
      <w:r>
        <w:rPr/>
        <w:t xml:space="preserve">(1) Any offer or sale of a security is exempt from RCW 21.20.040 through 21.20.300 and 21.20.327, except as expressly provided, if:</w:t>
      </w:r>
    </w:p>
    <w:p>
      <w:pPr>
        <w:spacing w:before="0" w:after="0" w:line="408" w:lineRule="exact"/>
        <w:ind w:left="0" w:right="0" w:firstLine="576"/>
        <w:jc w:val="left"/>
      </w:pPr>
      <w:r>
        <w:rPr/>
        <w:t xml:space="preserve">(a) The </w:t>
      </w:r>
      <w:r>
        <w:rPr>
          <w:u w:val="single"/>
        </w:rPr>
        <w:t xml:space="preserve">issuer first files the offering with the director and the director declares the</w:t>
      </w:r>
      <w:r>
        <w:rPr/>
        <w:t xml:space="preserve"> offering </w:t>
      </w:r>
      <w:r>
        <w:t>((</w:t>
      </w:r>
      <w:r>
        <w:rPr>
          <w:strike/>
        </w:rPr>
        <w:t xml:space="preserve">is first declared</w:t>
      </w:r>
      <w:r>
        <w:t>))</w:t>
      </w:r>
      <w:r>
        <w:rPr/>
        <w:t xml:space="preserve"> exempt </w:t>
      </w:r>
      <w:r>
        <w:t>((</w:t>
      </w:r>
      <w:r>
        <w:rPr>
          <w:strike/>
        </w:rPr>
        <w:t xml:space="preserve">by the director after:</w:t>
      </w:r>
    </w:p>
    <w:p>
      <w:pPr>
        <w:spacing w:before="0" w:after="0" w:line="408" w:lineRule="exact"/>
        <w:ind w:left="0" w:right="0" w:firstLine="576"/>
        <w:jc w:val="left"/>
      </w:pPr>
      <w:r>
        <w:rPr>
          <w:strike/>
        </w:rPr>
        <w:t xml:space="preserve">(i) The issuer files the offering with the director; or</w:t>
      </w:r>
    </w:p>
    <w:p>
      <w:pPr>
        <w:spacing w:before="0" w:after="0" w:line="408" w:lineRule="exact"/>
        <w:ind w:left="0" w:right="0" w:firstLine="576"/>
        <w:jc w:val="left"/>
      </w:pPr>
      <w:r>
        <w:rPr>
          <w:strike/>
        </w:rPr>
        <w:t xml:space="preserve">(ii) A portal working in collaboration with the director files the offering with the director on behalf of the issuer under RCW 21.20.883</w:t>
      </w:r>
      <w:r>
        <w:t>))</w:t>
      </w:r>
      <w:r>
        <w:rPr/>
        <w:t xml:space="preserve">;</w:t>
      </w:r>
    </w:p>
    <w:p>
      <w:pPr>
        <w:spacing w:before="0" w:after="0" w:line="408" w:lineRule="exact"/>
        <w:ind w:left="0" w:right="0" w:firstLine="576"/>
        <w:jc w:val="left"/>
      </w:pPr>
      <w:r>
        <w:rPr/>
        <w:t xml:space="preserve">(b) The offering is conducted in accordance with </w:t>
      </w:r>
      <w:r>
        <w:t>((</w:t>
      </w:r>
      <w:r>
        <w:rPr>
          <w:strike/>
        </w:rPr>
        <w:t xml:space="preserve">the requirements of section 3(a)(11) of the securities act of 1933 and securities and exchange commission rule 147, 17 C.F.R. Sec. 230.147</w:t>
      </w:r>
      <w:r>
        <w:t>))</w:t>
      </w:r>
      <w:r>
        <w:rPr/>
        <w:t xml:space="preserve"> </w:t>
      </w:r>
      <w:r>
        <w:rPr>
          <w:u w:val="single"/>
        </w:rPr>
        <w:t xml:space="preserve">an applicable exemption from registration under the securities act of 1933</w:t>
      </w:r>
      <w:r>
        <w:rPr/>
        <w:t xml:space="preserve">;</w:t>
      </w:r>
    </w:p>
    <w:p>
      <w:pPr>
        <w:spacing w:before="0" w:after="0" w:line="408" w:lineRule="exact"/>
        <w:ind w:left="0" w:right="0" w:firstLine="576"/>
        <w:jc w:val="left"/>
      </w:pPr>
      <w:r>
        <w:rPr/>
        <w:t xml:space="preserve">(c) The issuer is an entity </w:t>
      </w:r>
      <w:r>
        <w:t>((</w:t>
      </w:r>
      <w:r>
        <w:rPr>
          <w:strike/>
        </w:rPr>
        <w:t xml:space="preserve">organized and</w:t>
      </w:r>
      <w:r>
        <w:t>))</w:t>
      </w:r>
      <w:r>
        <w:rPr/>
        <w:t xml:space="preserve"> doing business in the state of Washington;</w:t>
      </w:r>
    </w:p>
    <w:p>
      <w:pPr>
        <w:spacing w:before="0" w:after="0" w:line="408" w:lineRule="exact"/>
        <w:ind w:left="0" w:right="0" w:firstLine="576"/>
        <w:jc w:val="left"/>
      </w:pPr>
      <w:r>
        <w:rPr/>
        <w:t xml:space="preserve">(d) </w:t>
      </w:r>
      <w:r>
        <w:t>((</w:t>
      </w:r>
      <w:r>
        <w:rPr>
          <w:strike/>
        </w:rPr>
        <w:t xml:space="preserve">Each investor provides evidence or certification of residency in the state of Washington at the time of purchase;</w:t>
      </w:r>
    </w:p>
    <w:p>
      <w:pPr>
        <w:spacing w:before="0" w:after="0" w:line="408" w:lineRule="exact"/>
        <w:ind w:left="0" w:right="0" w:firstLine="576"/>
        <w:jc w:val="left"/>
      </w:pPr>
      <w:r>
        <w:rPr>
          <w:strike/>
        </w:rPr>
        <w:t xml:space="preserve">(e)</w:t>
      </w:r>
      <w:r>
        <w:t>))</w:t>
      </w:r>
      <w:r>
        <w:rPr/>
        <w:t xml:space="preserve"> The issuer files with the director an escrow agreement </w:t>
      </w:r>
      <w:r>
        <w:t>((</w:t>
      </w:r>
      <w:r>
        <w:rPr>
          <w:strike/>
        </w:rPr>
        <w:t xml:space="preserve">either directly or through a portal</w:t>
      </w:r>
      <w:r>
        <w:t>))</w:t>
      </w:r>
      <w:r>
        <w:rPr/>
        <w:t xml:space="preserve"> providing that all offering proceeds will be released to the issuer only when the aggregate capital raised from all investors equals or exceeds the minimum target offering, as determined by the director;</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The aggregate purchase price of all securities sold by an issuer pursuant to the exemption provided by this section does not exceed one million dollars during any twelve-month period;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The aggregate amount sold to any investor</w:t>
      </w:r>
      <w:r>
        <w:rPr>
          <w:u w:val="single"/>
        </w:rPr>
        <w:t xml:space="preserve">, other than an "accredited investor" as that term is defined under the securities act of 1933,</w:t>
      </w:r>
      <w:r>
        <w:rPr/>
        <w:t xml:space="preserve"> by one or more issuers during the twelve-month period preceding the date of the sale does not exceed:</w:t>
      </w:r>
    </w:p>
    <w:p>
      <w:pPr>
        <w:spacing w:before="0" w:after="0" w:line="408" w:lineRule="exact"/>
        <w:ind w:left="0" w:right="0" w:firstLine="576"/>
        <w:jc w:val="left"/>
      </w:pPr>
      <w:r>
        <w:rPr/>
        <w:t xml:space="preserve">(i) The greater of two thousand dollars or five percent of the annual income or net worth of the investor, as applicable, if either the annual income or the net worth of the investor is less than one hundred thousand dollars; or</w:t>
      </w:r>
    </w:p>
    <w:p>
      <w:pPr>
        <w:spacing w:before="0" w:after="0" w:line="408" w:lineRule="exact"/>
        <w:ind w:left="0" w:right="0" w:firstLine="576"/>
        <w:jc w:val="left"/>
      </w:pPr>
      <w:r>
        <w:rPr/>
        <w:t xml:space="preserve">(ii) Ten percent of the annual income or net worth of the investor, as applicable, up to one hundred thousand dollars, if either the annual income or net worth of the investor is one hundred thousand dollars or more;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The investor acknowledges by manual or electronic signature the following statement conspicuously presented at the time of sale on a page separate from other information relating to the offering: "I acknowledge that I am investing in a high-risk, speculative business venture, that I may lose all of my investment, and that I can afford the loss of my investment";</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The issuer reasonably believes that all purchasers are purchasing for investment and not for sale in connection with a distribution of the security;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The issuer and investor provide any other information reasonably requested by the director.</w:t>
      </w:r>
    </w:p>
    <w:p>
      <w:pPr>
        <w:spacing w:before="0" w:after="0" w:line="408" w:lineRule="exact"/>
        <w:ind w:left="0" w:right="0" w:firstLine="576"/>
        <w:jc w:val="left"/>
      </w:pPr>
      <w:r>
        <w:rPr/>
        <w:t xml:space="preserve">(2) Attempted compliance with the exemption provided by this section does not act as an exclusive election. The issuer may claim any other applicable exemption.</w:t>
      </w:r>
    </w:p>
    <w:p>
      <w:pPr>
        <w:spacing w:before="0" w:after="0" w:line="408" w:lineRule="exact"/>
        <w:ind w:left="0" w:right="0" w:firstLine="576"/>
        <w:jc w:val="left"/>
      </w:pPr>
      <w:r>
        <w:rPr/>
        <w:t xml:space="preserve">(3) For as long as securities issued under the exemption provided by this section are outstanding, the issuer shall provide </w:t>
      </w:r>
      <w:r>
        <w:t>((</w:t>
      </w:r>
      <w:r>
        <w:rPr>
          <w:strike/>
        </w:rPr>
        <w:t xml:space="preserve">a quarterly</w:t>
      </w:r>
      <w:r>
        <w:t>))</w:t>
      </w:r>
      <w:r>
        <w:rPr/>
        <w:t xml:space="preserve"> </w:t>
      </w:r>
      <w:r>
        <w:rPr>
          <w:u w:val="single"/>
        </w:rPr>
        <w:t xml:space="preserve">an annual</w:t>
      </w:r>
      <w:r>
        <w:rPr/>
        <w:t xml:space="preserve"> report to the issuer's shareholders and the director </w:t>
      </w:r>
      <w:r>
        <w:t>((</w:t>
      </w:r>
      <w:r>
        <w:rPr>
          <w:strike/>
        </w:rPr>
        <w:t xml:space="preserve">by making such report publicly accessible, free of charge, at the issuer's internet web site address within forty-five days of the end of each fiscal quarter</w:t>
      </w:r>
      <w:r>
        <w:t>))</w:t>
      </w:r>
      <w:r>
        <w:rPr/>
        <w:t xml:space="preserve"> </w:t>
      </w:r>
      <w:r>
        <w:rPr>
          <w:u w:val="single"/>
        </w:rPr>
        <w:t xml:space="preserve">no later than one hundred twenty days after the end of the fiscal year covered by the report. An issuer may provide the report to its shareholders by posting a copy of the report on the issuer's web site</w:t>
      </w:r>
      <w:r>
        <w:rPr/>
        <w:t xml:space="preserve">. The report must contain the following information:</w:t>
      </w:r>
    </w:p>
    <w:p>
      <w:pPr>
        <w:spacing w:before="0" w:after="0" w:line="408" w:lineRule="exact"/>
        <w:ind w:left="0" w:right="0" w:firstLine="576"/>
        <w:jc w:val="left"/>
      </w:pPr>
      <w:r>
        <w:rPr/>
        <w:t xml:space="preserve">(a) Executive officer and director compensation, including specifically the cash compensation earned by the executive officers and directors since the previous report and on an annual basis, and any bonuses or other compensation, including stock options or other rights to receive equity securities of the issuer or any affiliate of the issuer, received by them; and</w:t>
      </w:r>
    </w:p>
    <w:p>
      <w:pPr>
        <w:spacing w:before="0" w:after="0" w:line="408" w:lineRule="exact"/>
        <w:ind w:left="0" w:right="0" w:firstLine="576"/>
        <w:jc w:val="left"/>
      </w:pPr>
      <w:r>
        <w:rPr/>
        <w:t xml:space="preserve">(b) A brief analysis by management of the issuer of the business operations and financial condition of the issuer.</w:t>
      </w:r>
    </w:p>
    <w:p>
      <w:pPr>
        <w:spacing w:before="0" w:after="0" w:line="408" w:lineRule="exact"/>
        <w:ind w:left="0" w:right="0" w:firstLine="576"/>
        <w:jc w:val="left"/>
      </w:pPr>
      <w:r>
        <w:rPr/>
        <w:t xml:space="preserve">(4) Securities issued under the exemption provided by this section may not be transferred by the purchaser during a one-year period beginning on the date of purchase, unless the securities are transferred:</w:t>
      </w:r>
    </w:p>
    <w:p>
      <w:pPr>
        <w:spacing w:before="0" w:after="0" w:line="408" w:lineRule="exact"/>
        <w:ind w:left="0" w:right="0" w:firstLine="576"/>
        <w:jc w:val="left"/>
      </w:pPr>
      <w:r>
        <w:rPr/>
        <w:t xml:space="preserve">(a) To the issuer of the securities;</w:t>
      </w:r>
    </w:p>
    <w:p>
      <w:pPr>
        <w:spacing w:before="0" w:after="0" w:line="408" w:lineRule="exact"/>
        <w:ind w:left="0" w:right="0" w:firstLine="576"/>
        <w:jc w:val="left"/>
      </w:pPr>
      <w:r>
        <w:rPr/>
        <w:t xml:space="preserve">(b) To an accredited investor;</w:t>
      </w:r>
    </w:p>
    <w:p>
      <w:pPr>
        <w:spacing w:before="0" w:after="0" w:line="408" w:lineRule="exact"/>
        <w:ind w:left="0" w:right="0" w:firstLine="576"/>
        <w:jc w:val="left"/>
      </w:pPr>
      <w:r>
        <w:rPr/>
        <w:t xml:space="preserve">(c) As part of a registered offering; or</w:t>
      </w:r>
    </w:p>
    <w:p>
      <w:pPr>
        <w:spacing w:before="0" w:after="0" w:line="408" w:lineRule="exact"/>
        <w:ind w:left="0" w:right="0" w:firstLine="576"/>
        <w:jc w:val="left"/>
      </w:pPr>
      <w:r>
        <w:rPr/>
        <w:t xml:space="preserve">(d) To a member of the family of the purchaser or the equivalent, or in connection with the death or divorce or other similar circumstances, in the discretion of the director.</w:t>
      </w:r>
    </w:p>
    <w:p>
      <w:pPr>
        <w:spacing w:before="0" w:after="0" w:line="408" w:lineRule="exact"/>
        <w:ind w:left="0" w:right="0" w:firstLine="576"/>
        <w:jc w:val="left"/>
      </w:pPr>
      <w:r>
        <w:rPr/>
        <w:t xml:space="preserve">(5) The director shall adopt disqualification provisions under which this exemption shall not be available to any person or its predecessors, affiliates, officers, directors, underwriters, or other related persons. The provisions shall be substantially similar to the disqualification provisions adopted by the securities and exchange commission pursuant to the requirements of section 401(b)(2) of the Jobs act of 2012 or, if none, as adopted in Rule 506 of Regulation D. Notwithstanding the foregoing, this exemption shall become available on June 12, 2014.</w:t>
      </w:r>
    </w:p>
    <w:p>
      <w:pPr>
        <w:spacing w:before="0" w:after="0" w:line="408" w:lineRule="exact"/>
        <w:ind w:left="0" w:right="0" w:firstLine="576"/>
        <w:jc w:val="left"/>
      </w:pPr>
      <w:r>
        <w:rPr>
          <w:u w:val="single"/>
        </w:rPr>
        <w:t xml:space="preserve">(6) Any type of equity or convertible debt security may be offered under the exemption provided under this section.</w:t>
      </w:r>
    </w:p>
    <w:p>
      <w:pPr>
        <w:spacing w:before="0" w:after="0" w:line="408" w:lineRule="exact"/>
        <w:ind w:left="0" w:right="0" w:firstLine="576"/>
        <w:jc w:val="left"/>
      </w:pPr>
      <w:r>
        <w:rPr>
          <w:u w:val="single"/>
        </w:rPr>
        <w:t xml:space="preserve">(7) Subject to RCW 21.20.450, the director may adopt, amend, or repeal rules to implement this section, including the establishment of filing and transaction fees sufficient to cover the costs of administering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21</w:t>
      </w:r>
      <w:r>
        <w:rPr/>
        <w:t xml:space="preserve">.</w:t>
      </w:r>
      <w:r>
        <w:t xml:space="preserve">20</w:t>
      </w:r>
      <w:r>
        <w:rPr/>
        <w:t xml:space="preserve">.</w:t>
      </w:r>
      <w:r>
        <w:t xml:space="preserve">883</w:t>
      </w:r>
      <w:r>
        <w:rPr/>
        <w:t xml:space="preserve"> (Portals</w:t>
      </w:r>
      <w:r>
        <w:rPr>
          <w:rFonts w:ascii="Times New Roman" w:hAnsi="Times New Roman"/>
        </w:rPr>
        <w:t xml:space="preserve">—</w:t>
      </w:r>
      <w:r>
        <w:rPr/>
        <w:t xml:space="preserve">Qualifications and use</w:t>
      </w:r>
      <w:r>
        <w:rPr>
          <w:rFonts w:ascii="Times New Roman" w:hAnsi="Times New Roman"/>
        </w:rPr>
        <w:t xml:space="preserve">—</w:t>
      </w:r>
      <w:r>
        <w:rPr/>
        <w:t xml:space="preserve">Requirements) and 2016 c 61 s 16 &amp; 2014 c 144 s 4; and</w:t>
      </w:r>
    </w:p>
    <w:p>
      <w:pPr>
        <w:spacing w:before="0" w:after="0" w:line="408" w:lineRule="exact"/>
        <w:ind w:left="0" w:right="0" w:firstLine="576"/>
        <w:jc w:val="left"/>
      </w:pPr>
      <w:r>
        <w:t>(2)</w:t>
      </w:r>
      <w:r>
        <w:rPr/>
        <w:t xml:space="preserve">RCW </w:t>
      </w:r>
      <w:r>
        <w:t xml:space="preserve">21</w:t>
      </w:r>
      <w:r>
        <w:rPr/>
        <w:t xml:space="preserve">.</w:t>
      </w:r>
      <w:r>
        <w:t xml:space="preserve">20</w:t>
      </w:r>
      <w:r>
        <w:rPr/>
        <w:t xml:space="preserve">.</w:t>
      </w:r>
      <w:r>
        <w:t xml:space="preserve">886</w:t>
      </w:r>
      <w:r>
        <w:rPr/>
        <w:t xml:space="preserve"> (Rule making for small securities offerings) and 2014 c 144 s 5.</w:t>
      </w:r>
    </w:p>
    <w:p/>
    <w:p>
      <w:pPr>
        <w:jc w:val="center"/>
      </w:pPr>
      <w:r>
        <w:rPr>
          <w:b/>
        </w:rPr>
        <w:t>--- END ---</w:t>
      </w:r>
    </w:p>
    <w:sectPr>
      <w:pgNumType w:start="1"/>
      <w:footerReference xmlns:r="http://schemas.openxmlformats.org/officeDocument/2006/relationships" r:id="Ra477451527db4c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7b809623bd434d" /><Relationship Type="http://schemas.openxmlformats.org/officeDocument/2006/relationships/footer" Target="/word/footer.xml" Id="Ra477451527db4c32" /></Relationships>
</file>