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9b2df9c034d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McDonald, Johnson, Hayes, Stonier, Griffey, McBride, Harris, Springer, Stambaugh, Gregerson, Appleton, Muri, and Haler</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authority of local governments to require criminal history background checks;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w:t>
      </w:r>
      <w:r>
        <w:rPr>
          <w:u w:val="single"/>
        </w:rPr>
        <w:t xml:space="preserve">;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NumType w:start="1"/>
      <w:footerReference xmlns:r="http://schemas.openxmlformats.org/officeDocument/2006/relationships" r:id="R18a8a655922344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dd864f78f4db9" /><Relationship Type="http://schemas.openxmlformats.org/officeDocument/2006/relationships/footer" Target="/word/footer.xml" Id="R18a8a655922344bb" /></Relationships>
</file>