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a74a213977458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1719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19,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45</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1719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1719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Lovick, Dent, Kagi, Senn, and Frame; by request of Department of Early Learning)</w:t>
      </w:r>
    </w:p>
    <w:p/>
    <w:p>
      <w:r>
        <w:rPr>
          <w:t xml:space="preserve">READ FIRST TIME 02/14/17.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certain department of early learning advising and contracting mechanisms to reflect federal requirements, legislative mandates, and planned system improvements; and amending RCW 43.215.090 and 43.215.130.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2015 3rd sp.s. c 7 s 16 are each amended to read as follows:</w:t>
      </w:r>
    </w:p>
    <w:p>
      <w:pPr>
        <w:spacing w:before="0" w:after="0" w:line="408" w:lineRule="exact"/>
        <w:ind w:left="0" w:right="0" w:firstLine="576"/>
        <w:jc w:val="left"/>
      </w:pPr>
      <w:r>
        <w:rPr/>
        <w:t xml:space="preserve">(1) The early learning advisory council is established to advise the department on statewide early learning issues that </w:t>
      </w:r>
      <w:r>
        <w:t>((</w:t>
      </w:r>
      <w:r>
        <w:rPr>
          <w:strike/>
        </w:rPr>
        <w:t xml:space="preserve">would build</w:t>
      </w:r>
      <w:r>
        <w:t>))</w:t>
      </w:r>
      <w:r>
        <w:rPr/>
        <w:t xml:space="preserve"> </w:t>
      </w:r>
      <w:r>
        <w:rPr>
          <w:u w:val="single"/>
        </w:rPr>
        <w:t xml:space="preserve">contribute to the ongoing efforts of building</w:t>
      </w:r>
      <w:r>
        <w:rPr/>
        <w:t xml:space="preserve"> a comprehensive system of quality early learning programs and services for Washington's </w:t>
      </w:r>
      <w:r>
        <w:rPr>
          <w:u w:val="single"/>
        </w:rPr>
        <w:t xml:space="preserve">young</w:t>
      </w:r>
      <w:r>
        <w:rPr/>
        <w:t xml:space="preserve"> children and families </w:t>
      </w:r>
      <w:r>
        <w:t>((</w:t>
      </w:r>
      <w:r>
        <w:rPr>
          <w:strike/>
        </w:rPr>
        <w:t xml:space="preserve">by assessing needs and the availability of services, aligning resources, developing plans for data collection and professional development of early childhood educators, and establishing key performance measures</w:t>
      </w:r>
      <w:r>
        <w:t>))</w:t>
      </w:r>
      <w:r>
        <w:rPr/>
        <w:t xml:space="preserve">.</w:t>
      </w:r>
    </w:p>
    <w:p>
      <w:pPr>
        <w:spacing w:before="0" w:after="0" w:line="408" w:lineRule="exact"/>
        <w:ind w:left="0" w:right="0" w:firstLine="576"/>
        <w:jc w:val="left"/>
      </w:pPr>
      <w:r>
        <w:rPr/>
        <w:t xml:space="preserve">(2) The council shall work in conjunction with the department to </w:t>
      </w:r>
      <w:r>
        <w:t>((</w:t>
      </w:r>
      <w:r>
        <w:rPr>
          <w:strike/>
        </w:rPr>
        <w:t xml:space="preserve">develop a statewide early learning plan that guides</w:t>
      </w:r>
      <w:r>
        <w:t>))</w:t>
      </w:r>
      <w:r>
        <w:rPr/>
        <w:t xml:space="preserve"> </w:t>
      </w:r>
      <w:r>
        <w:rPr>
          <w:u w:val="single"/>
        </w:rPr>
        <w:t xml:space="preserve">assist in policy development and implementation that assist</w:t>
      </w:r>
      <w:r>
        <w:rPr/>
        <w:t xml:space="preserve"> the department in promoting alignment of private and public sector actions, objectives, and resources, </w:t>
      </w:r>
      <w:r>
        <w:t>((</w:t>
      </w:r>
      <w:r>
        <w:rPr>
          <w:strike/>
        </w:rPr>
        <w:t xml:space="preserve">and</w:t>
      </w:r>
      <w:r>
        <w:t>))</w:t>
      </w:r>
      <w:r>
        <w:rPr/>
        <w:t xml:space="preserve">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w:t>
      </w:r>
      <w:r>
        <w:rPr>
          <w:u w:val="single"/>
        </w:rPr>
        <w:t xml:space="preserve">include critical partners in service delivery and</w:t>
      </w:r>
      <w:r>
        <w:rPr/>
        <w:t xml:space="preserve">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w:t>
      </w:r>
      <w:r>
        <w:t>((</w:t>
      </w:r>
      <w:r>
        <w:rPr>
          <w:strike/>
        </w:rPr>
        <w:t xml:space="preserve">not more than twenty-three</w:t>
      </w:r>
      <w:r>
        <w:t>))</w:t>
      </w:r>
      <w:r>
        <w:rPr/>
        <w:t xml:space="preserve"> members </w:t>
      </w:r>
      <w:r>
        <w:rPr>
          <w:u w:val="single"/>
        </w:rPr>
        <w:t xml:space="preserve">essential to coordinating services statewide prenatal through age five</w:t>
      </w:r>
      <w:r>
        <w:rPr/>
        <w:t xml:space="preserve">, as follows:</w:t>
      </w:r>
    </w:p>
    <w:p>
      <w:pPr>
        <w:spacing w:before="0" w:after="0" w:line="408" w:lineRule="exact"/>
        <w:ind w:left="0" w:right="0" w:firstLine="576"/>
        <w:jc w:val="left"/>
      </w:pPr>
      <w:r>
        <w:rPr/>
        <w:t xml:space="preserve">(a) </w:t>
      </w:r>
      <w:r>
        <w:rPr>
          <w:u w:val="single"/>
        </w:rPr>
        <w:t xml:space="preserve">In addition to being staffed and supported by the department, t</w:t>
      </w:r>
      <w:r>
        <w:rPr/>
        <w:t xml:space="preserve">he governor shall appoint </w:t>
      </w:r>
      <w:r>
        <w:t>((</w:t>
      </w:r>
      <w:r>
        <w:rPr>
          <w:strike/>
        </w:rPr>
        <w:t xml:space="preserve">at least</w:t>
      </w:r>
      <w:r>
        <w:t>))</w:t>
      </w:r>
      <w:r>
        <w:rPr/>
        <w:t xml:space="preserve"> one representative from each of the following: The </w:t>
      </w:r>
      <w:r>
        <w:t>((</w:t>
      </w:r>
      <w:r>
        <w:rPr>
          <w:strike/>
        </w:rPr>
        <w:t xml:space="preserve">department, the office of financial management, the department of social and health services, the</w:t>
      </w:r>
      <w:r>
        <w:t>))</w:t>
      </w:r>
      <w:r>
        <w:rPr/>
        <w:t xml:space="preserv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w:t>
      </w:r>
      <w:r>
        <w:t>((</w:t>
      </w:r>
      <w:r>
        <w:rPr>
          <w:strike/>
        </w:rPr>
        <w:t xml:space="preserve">seven</w:t>
      </w:r>
      <w:r>
        <w:t>))</w:t>
      </w:r>
      <w:r>
        <w:rPr/>
        <w:t xml:space="preserve"> leaders in early childhood education </w:t>
      </w:r>
      <w:r>
        <w:rPr>
          <w:u w:val="single"/>
        </w:rPr>
        <w:t xml:space="preserve">to represent critical service delivery and support sectors</w:t>
      </w:r>
      <w:r>
        <w:rPr/>
        <w:t xml:space="preserve">, with at least one </w:t>
      </w:r>
      <w:r>
        <w:t>((</w:t>
      </w:r>
      <w:r>
        <w:rPr>
          <w:strike/>
        </w:rPr>
        <w:t xml:space="preserve">representative with experience or expertise in one or more of the areas such as</w:t>
      </w:r>
      <w:r>
        <w:t>))</w:t>
      </w:r>
      <w:r>
        <w:rPr/>
        <w:t xml:space="preserve"> </w:t>
      </w:r>
      <w:r>
        <w:rPr>
          <w:u w:val="single"/>
        </w:rPr>
        <w:t xml:space="preserve">individual representing each of</w:t>
      </w:r>
      <w:r>
        <w:rPr/>
        <w:t xml:space="preserve"> the following: </w:t>
      </w:r>
      <w:r>
        <w:t>((</w:t>
      </w:r>
      <w:r>
        <w:rPr>
          <w:strike/>
        </w:rPr>
        <w:t xml:space="preserve">The K-12 system, family day care providers, and child care centers with four of the seven governor's appointees made as follows:</w:t>
      </w:r>
      <w:r>
        <w:t>))</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w:t>
      </w:r>
      <w:r>
        <w:rPr>
          <w:u w:val="single"/>
        </w:rPr>
        <w:t xml:space="preserve">or</w:t>
      </w:r>
      <w:r>
        <w:rPr/>
        <w:t xml:space="preserve"> migrant/seasonal head start</w:t>
      </w:r>
      <w:r>
        <w:t>((</w:t>
      </w:r>
      <w:r>
        <w:rPr>
          <w:strike/>
        </w:rPr>
        <w:t xml:space="preserve">, or tribal head start</w:t>
      </w:r>
      <w:r>
        <w:t>))</w:t>
      </w:r>
      <w:r>
        <w:rPr/>
        <w:t xml:space="preserve"> program;</w:t>
      </w:r>
    </w:p>
    <w:p>
      <w:pPr>
        <w:spacing w:before="0" w:after="0" w:line="408" w:lineRule="exact"/>
        <w:ind w:left="0" w:right="0" w:firstLine="576"/>
        <w:jc w:val="left"/>
      </w:pPr>
      <w:r>
        <w:rPr/>
        <w:t xml:space="preserve">(iii) A representative of a local education agency; </w:t>
      </w:r>
      <w:r>
        <w:t>((</w:t>
      </w:r>
      <w:r>
        <w:rPr>
          <w:strike/>
        </w:rPr>
        <w:t xml:space="preserve">and</w:t>
      </w:r>
      <w:r>
        <w:t>))</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u w:val="single"/>
        </w:rPr>
        <w:t xml:space="preserve">(v) A representative of the early childhood education and assistance program;</w:t>
      </w:r>
    </w:p>
    <w:p>
      <w:pPr>
        <w:spacing w:before="0" w:after="0" w:line="408" w:lineRule="exact"/>
        <w:ind w:left="0" w:right="0" w:firstLine="576"/>
        <w:jc w:val="left"/>
      </w:pPr>
      <w:r>
        <w:rPr>
          <w:u w:val="single"/>
        </w:rPr>
        <w:t xml:space="preserve">(vi) A representative of licensed family day care providers;</w:t>
      </w:r>
    </w:p>
    <w:p>
      <w:pPr>
        <w:spacing w:before="0" w:after="0" w:line="408" w:lineRule="exact"/>
        <w:ind w:left="0" w:right="0" w:firstLine="576"/>
        <w:jc w:val="left"/>
      </w:pPr>
      <w:r>
        <w:rPr>
          <w:u w:val="single"/>
        </w:rPr>
        <w:t xml:space="preserve">(vii) A representative of child day care centers; and</w:t>
      </w:r>
    </w:p>
    <w:p>
      <w:pPr>
        <w:spacing w:before="0" w:after="0" w:line="408" w:lineRule="exact"/>
        <w:ind w:left="0" w:right="0" w:firstLine="576"/>
        <w:jc w:val="left"/>
      </w:pPr>
      <w:r>
        <w:rPr>
          <w:u w:val="single"/>
        </w:rPr>
        <w:t xml:space="preserve">(viii) A representative from the home visiting advisory committee established in RCW 43.215.130;</w:t>
      </w:r>
    </w:p>
    <w:p>
      <w:pPr>
        <w:spacing w:before="0" w:after="0" w:line="408" w:lineRule="exact"/>
        <w:ind w:left="0" w:right="0" w:firstLine="576"/>
        <w:jc w:val="left"/>
      </w:pPr>
      <w:r>
        <w:rPr/>
        <w:t xml:space="preserve">(d) Two members of the house of representatives, one from each caucus, </w:t>
      </w:r>
      <w:r>
        <w:t>((</w:t>
      </w:r>
      <w:r>
        <w:rPr>
          <w:strike/>
        </w:rPr>
        <w:t xml:space="preserve">and two members of the senate, one from each caucus,</w:t>
      </w:r>
      <w:r>
        <w:t>))</w:t>
      </w:r>
      <w:r>
        <w:rPr/>
        <w:t xml:space="preserve"> to be appointed by the speaker of the house of representatives and </w:t>
      </w:r>
      <w:r>
        <w:t>((</w:t>
      </w:r>
      <w:r>
        <w:rPr>
          <w:strike/>
        </w:rPr>
        <w:t xml:space="preserve">the president of the senate, respectively</w:t>
      </w:r>
      <w:r>
        <w:t>))</w:t>
      </w:r>
      <w:r>
        <w:rPr/>
        <w:t xml:space="preserve"> </w:t>
      </w:r>
      <w:r>
        <w:rPr>
          <w:u w:val="single"/>
        </w:rPr>
        <w:t xml:space="preserve">two members of the senate, one from each caucus, to be appointed by the majority leader in the senate and the minority leader in the senate</w:t>
      </w:r>
      <w:r>
        <w:rPr/>
        <w:t xml:space="preserve">;</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u w:val="single"/>
        </w:rPr>
        <w:t xml:space="preserve">(g) One representative from the developmental disabilities community;</w:t>
      </w:r>
    </w:p>
    <w:p>
      <w:pPr>
        <w:spacing w:before="0" w:after="0" w:line="408" w:lineRule="exact"/>
        <w:ind w:left="0" w:right="0" w:firstLine="576"/>
        <w:jc w:val="left"/>
      </w:pPr>
      <w:r>
        <w:rPr>
          <w:u w:val="single"/>
        </w:rPr>
        <w:t xml:space="preserve">(h) Two representatives from early learning regional coalitions;</w:t>
      </w:r>
    </w:p>
    <w:p>
      <w:pPr>
        <w:spacing w:before="0" w:after="0" w:line="408" w:lineRule="exact"/>
        <w:ind w:left="0" w:right="0" w:firstLine="576"/>
        <w:jc w:val="left"/>
      </w:pPr>
      <w:r>
        <w:rPr>
          <w:u w:val="single"/>
        </w:rPr>
        <w:t xml:space="preserve">(i) Representatives of underserved communities who have a special expertise or interest in high quality early learning, one to be appointed by each of the following commissions:</w:t>
      </w:r>
    </w:p>
    <w:p>
      <w:pPr>
        <w:spacing w:before="0" w:after="0" w:line="408" w:lineRule="exact"/>
        <w:ind w:left="0" w:right="0" w:firstLine="576"/>
        <w:jc w:val="left"/>
      </w:pPr>
      <w:r>
        <w:rPr>
          <w:u w:val="single"/>
        </w:rPr>
        <w:t xml:space="preserve">(i) The Washington state commission on Asian Pacific American affairs;</w:t>
      </w:r>
    </w:p>
    <w:p>
      <w:pPr>
        <w:spacing w:before="0" w:after="0" w:line="408" w:lineRule="exact"/>
        <w:ind w:left="0" w:right="0" w:firstLine="576"/>
        <w:jc w:val="left"/>
      </w:pPr>
      <w:r>
        <w:rPr>
          <w:u w:val="single"/>
        </w:rPr>
        <w:t xml:space="preserve">(ii) The Washington state commission on African-American affairs; and</w:t>
      </w:r>
    </w:p>
    <w:p>
      <w:pPr>
        <w:spacing w:before="0" w:after="0" w:line="408" w:lineRule="exact"/>
        <w:ind w:left="0" w:right="0" w:firstLine="576"/>
        <w:jc w:val="left"/>
      </w:pPr>
      <w:r>
        <w:rPr>
          <w:u w:val="single"/>
        </w:rPr>
        <w:t xml:space="preserve">(iii) The Washington state commission on Hispanic affairs;</w:t>
      </w:r>
    </w:p>
    <w:p>
      <w:pPr>
        <w:spacing w:before="0" w:after="0" w:line="408" w:lineRule="exact"/>
        <w:ind w:left="0" w:right="0" w:firstLine="576"/>
        <w:jc w:val="left"/>
      </w:pPr>
      <w:r>
        <w:t>((</w:t>
      </w:r>
      <w:r>
        <w:rPr>
          <w:strike/>
        </w:rPr>
        <w:t xml:space="preserve">(g) One</w:t>
      </w:r>
      <w:r>
        <w:t>))</w:t>
      </w:r>
      <w:r>
        <w:rPr/>
        <w:t xml:space="preserve"> </w:t>
      </w:r>
      <w:r>
        <w:rPr>
          <w:u w:val="single"/>
        </w:rPr>
        <w:t xml:space="preserve">(j) Two</w:t>
      </w:r>
      <w:r>
        <w:rPr/>
        <w:t xml:space="preserve"> representative</w:t>
      </w:r>
      <w:r>
        <w:rPr>
          <w:u w:val="single"/>
        </w:rPr>
        <w:t xml:space="preserve">s</w:t>
      </w:r>
      <w:r>
        <w:rPr/>
        <w:t xml:space="preserve"> designated by sovereign tribal governments</w:t>
      </w:r>
      <w:r>
        <w:rPr>
          <w:u w:val="single"/>
        </w:rPr>
        <w:t xml:space="preserve">, one of whom must be a representative of a tribal early childhood education assistance program or head start program</w:t>
      </w:r>
      <w:r>
        <w:rPr/>
        <w:t xml:space="preserve">; </w:t>
      </w:r>
      <w:r>
        <w:t>((</w:t>
      </w:r>
      <w:r>
        <w:rPr>
          <w:strike/>
        </w:rPr>
        <w:t xml:space="preserve">and</w:t>
      </w:r>
    </w:p>
    <w:p>
      <w:pPr>
        <w:spacing w:before="0" w:after="0" w:line="408" w:lineRule="exact"/>
        <w:ind w:left="0" w:right="0" w:firstLine="576"/>
        <w:jc w:val="left"/>
      </w:pPr>
      <w:r>
        <w:rPr>
          <w:strike/>
        </w:rPr>
        <w:t xml:space="preserve">(h)</w:t>
      </w:r>
      <w:r>
        <w:t>))</w:t>
      </w:r>
      <w:r>
        <w:rPr/>
        <w:t xml:space="preserve"> </w:t>
      </w:r>
      <w:r>
        <w:rPr>
          <w:u w:val="single"/>
        </w:rPr>
        <w:t xml:space="preserve">(k)</w:t>
      </w:r>
      <w:r>
        <w:rPr/>
        <w:t xml:space="preserve"> One representative from the Washington federation of independent schools</w:t>
      </w:r>
      <w:r>
        <w:rPr>
          <w:u w:val="single"/>
        </w:rPr>
        <w:t xml:space="preserve">;</w:t>
      </w:r>
    </w:p>
    <w:p>
      <w:pPr>
        <w:spacing w:before="0" w:after="0" w:line="408" w:lineRule="exact"/>
        <w:ind w:left="0" w:right="0" w:firstLine="576"/>
        <w:jc w:val="left"/>
      </w:pPr>
      <w:r>
        <w:rPr>
          <w:u w:val="single"/>
        </w:rPr>
        <w:t xml:space="preserve">(l) One representative from the Washington library association; and</w:t>
      </w:r>
    </w:p>
    <w:p>
      <w:pPr>
        <w:spacing w:before="0" w:after="0" w:line="408" w:lineRule="exact"/>
        <w:ind w:left="0" w:right="0" w:firstLine="576"/>
        <w:jc w:val="left"/>
      </w:pPr>
      <w:r>
        <w:rPr>
          <w:u w:val="single"/>
        </w:rPr>
        <w:t xml:space="preserve">(m) One representative from a statewide advocacy coalition of organizations that focuses on early learning</w:t>
      </w:r>
      <w:r>
        <w:rPr/>
        <w:t xml:space="preserve">.</w:t>
      </w:r>
    </w:p>
    <w:p>
      <w:pPr>
        <w:spacing w:before="0" w:after="0" w:line="408" w:lineRule="exact"/>
        <w:ind w:left="0" w:right="0" w:firstLine="576"/>
        <w:jc w:val="left"/>
      </w:pPr>
      <w:r>
        <w:rPr/>
        <w:t xml:space="preserve">(6) The council shall be cochaired by </w:t>
      </w:r>
      <w:r>
        <w:t>((</w:t>
      </w:r>
      <w:r>
        <w:rPr>
          <w:strike/>
        </w:rPr>
        <w:t xml:space="preserve">one representative of a state agency and one nongovernmental</w:t>
      </w:r>
      <w:r>
        <w:t>))</w:t>
      </w:r>
      <w:r>
        <w:rPr/>
        <w:t xml:space="preserve"> </w:t>
      </w:r>
      <w:r>
        <w:rPr>
          <w:u w:val="single"/>
        </w:rPr>
        <w:t xml:space="preserve">two</w:t>
      </w:r>
      <w:r>
        <w:rPr/>
        <w:t xml:space="preserve"> member</w:t>
      </w:r>
      <w:r>
        <w:rPr>
          <w:u w:val="single"/>
        </w:rPr>
        <w:t xml:space="preserve">s</w:t>
      </w:r>
      <w:r>
        <w:rPr/>
        <w:t xml:space="preserve">, to be elected by the council for two-year terms </w:t>
      </w:r>
      <w:r>
        <w:rPr>
          <w:u w:val="single"/>
        </w:rPr>
        <w:t xml:space="preserve">and not more than one cochair may represent a state agency</w:t>
      </w:r>
      <w:r>
        <w:rPr/>
        <w:t xml:space="preserve">.</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review conducted by the subcommittee shall be a part of the annual progress report required in RCW 43.215.102. At a minimum the review shall address the following:</w:t>
      </w:r>
    </w:p>
    <w:p>
      <w:pPr>
        <w:spacing w:before="0" w:after="0" w:line="408" w:lineRule="exact"/>
        <w:ind w:left="0" w:right="0" w:firstLine="576"/>
        <w:jc w:val="left"/>
      </w:pPr>
      <w:r>
        <w:rPr/>
        <w:t xml:space="preserve">(i) Adequacy of data collection procedures;</w:t>
      </w:r>
    </w:p>
    <w:p>
      <w:pPr>
        <w:spacing w:before="0" w:after="0" w:line="408" w:lineRule="exact"/>
        <w:ind w:left="0" w:right="0" w:firstLine="576"/>
        <w:jc w:val="left"/>
      </w:pPr>
      <w:r>
        <w:rPr/>
        <w:t xml:space="preserve">(ii) Coaching and technical assistance standards;</w:t>
      </w:r>
    </w:p>
    <w:p>
      <w:pPr>
        <w:spacing w:before="0" w:after="0" w:line="408" w:lineRule="exact"/>
        <w:ind w:left="0" w:right="0" w:firstLine="576"/>
        <w:jc w:val="left"/>
      </w:pPr>
      <w:r>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t xml:space="preserve">(v) Status of the life circumstance exemption protocols; and</w:t>
      </w:r>
    </w:p>
    <w:p>
      <w:pPr>
        <w:spacing w:before="0" w:after="0" w:line="408" w:lineRule="exact"/>
        <w:ind w:left="0" w:right="0" w:firstLine="576"/>
        <w:jc w:val="left"/>
      </w:pPr>
      <w:r>
        <w:rPr/>
        <w:t xml:space="preserve">(vi) Analysis of early achievers program data trends.</w:t>
      </w:r>
    </w:p>
    <w:p>
      <w:pPr>
        <w:spacing w:before="0" w:after="0" w:line="408" w:lineRule="exact"/>
        <w:ind w:left="0" w:right="0" w:firstLine="576"/>
        <w:jc w:val="left"/>
      </w:pPr>
      <w:r>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w:t>
      </w:r>
      <w:r>
        <w:t>((</w:t>
      </w:r>
      <w:r>
        <w:rPr>
          <w:strike/>
        </w:rPr>
        <w:t xml:space="preserve">achiever[s]</w:t>
      </w:r>
      <w:r>
        <w:t>))</w:t>
      </w:r>
      <w:r>
        <w:rPr/>
        <w:t xml:space="preserve"> </w:t>
      </w:r>
      <w:r>
        <w:rPr>
          <w:u w:val="single"/>
        </w:rPr>
        <w:t xml:space="preserve">achievers</w:t>
      </w:r>
      <w:r>
        <w:rPr/>
        <w:t xml:space="preserve">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rPr/>
        <w:t xml:space="preserve">(10) The department shall provide staff support to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130</w:t>
      </w:r>
      <w:r>
        <w:rPr/>
        <w:t xml:space="preserve"> and 2013 c 165 s 1 are each amended to read as follows:</w:t>
      </w:r>
    </w:p>
    <w:p>
      <w:pPr>
        <w:spacing w:before="0" w:after="0" w:line="408" w:lineRule="exact"/>
        <w:ind w:left="0" w:right="0" w:firstLine="576"/>
        <w:jc w:val="left"/>
      </w:pPr>
      <w:r>
        <w:rPr/>
        <w:t xml:space="preserve">(1)(a) The home visiting services account is created in the state treasury. Revenues to the account shall consist of appropriations by the legislature and all other sources deposited in the account. All federal funds received by the department for home visiting activities must be deposited into the account.</w:t>
      </w:r>
    </w:p>
    <w:p>
      <w:pPr>
        <w:spacing w:before="0" w:after="0" w:line="408" w:lineRule="exact"/>
        <w:ind w:left="0" w:right="0" w:firstLine="576"/>
        <w:jc w:val="left"/>
      </w:pPr>
      <w:r>
        <w:rPr/>
        <w:t xml:space="preserve">(b)(i) Expenditures from the account shall be used for state matching funds for the purposes of the program established in this section and federally funded activities for the home visiting program, including administrative expenses. </w:t>
      </w:r>
    </w:p>
    <w:p>
      <w:pPr>
        <w:spacing w:before="0" w:after="0" w:line="408" w:lineRule="exact"/>
        <w:ind w:left="0" w:right="0" w:firstLine="576"/>
        <w:jc w:val="left"/>
      </w:pPr>
      <w:r>
        <w:rPr/>
        <w:t xml:space="preserve">(ii) The department oversees the account and is the lead state agency for home visiting system development. The nongovernmental private-public partnership </w:t>
      </w:r>
      <w:r>
        <w:t>((</w:t>
      </w:r>
      <w:r>
        <w:rPr>
          <w:strike/>
        </w:rPr>
        <w:t xml:space="preserve">administers</w:t>
      </w:r>
      <w:r>
        <w:t>))</w:t>
      </w:r>
      <w:r>
        <w:rPr/>
        <w:t xml:space="preserve"> </w:t>
      </w:r>
      <w:r>
        <w:rPr>
          <w:u w:val="single"/>
        </w:rPr>
        <w:t xml:space="preserve">supports</w:t>
      </w:r>
      <w:r>
        <w:rPr/>
        <w:t xml:space="preserve"> the home visiting service delivery system and provides </w:t>
      </w:r>
      <w:r>
        <w:t>((</w:t>
      </w:r>
      <w:r>
        <w:rPr>
          <w:strike/>
        </w:rPr>
        <w:t xml:space="preserve">implementation</w:t>
      </w:r>
      <w:r>
        <w:t>))</w:t>
      </w:r>
      <w:r>
        <w:rPr/>
        <w:t xml:space="preserve"> support functions to funded programs.</w:t>
      </w:r>
    </w:p>
    <w:p>
      <w:pPr>
        <w:spacing w:before="0" w:after="0" w:line="408" w:lineRule="exact"/>
        <w:ind w:left="0" w:right="0" w:firstLine="576"/>
        <w:jc w:val="left"/>
      </w:pPr>
      <w:r>
        <w:rPr/>
        <w:t xml:space="preserve">(iii) It is the intent of the legislature that state funds invested in the account be matched </w:t>
      </w:r>
      <w:r>
        <w:t>((</w:t>
      </w:r>
      <w:r>
        <w:rPr>
          <w:strike/>
        </w:rPr>
        <w:t xml:space="preserve">at fifty percent</w:t>
      </w:r>
      <w:r>
        <w:t>))</w:t>
      </w:r>
      <w:r>
        <w:rPr/>
        <w:t xml:space="preserve"> by the private-public partnership each fiscal year. </w:t>
      </w:r>
      <w:r>
        <w:t>((</w:t>
      </w:r>
      <w:r>
        <w:rPr>
          <w:strike/>
        </w:rPr>
        <w:t xml:space="preserve">However, state funds in the account may be accessed in the event that the private-public partnership fails to meet the fifty percent match target. Should the private-public partnership not meet the fifty percent match target by the conclusion of the fiscal year ending on June 30th, the department and the private-public partnership, shall jointly submit a report to the relevant legislative committees detailing the reasons why the fifty percent match target was not met, the actual match rate achieved, and a plan to achieve fifty percent match in the subsequent fiscal year. This report shall be submitted as promptly as practicable, but the lack of receipt of this report shall not prevent state funds in the account from being accessed.</w:t>
      </w:r>
      <w:r>
        <w:t>))</w:t>
      </w:r>
    </w:p>
    <w:p>
      <w:pPr>
        <w:spacing w:before="0" w:after="0" w:line="408" w:lineRule="exact"/>
        <w:ind w:left="0" w:right="0" w:firstLine="576"/>
        <w:jc w:val="left"/>
      </w:pPr>
      <w:r>
        <w:rPr/>
        <w:t xml:space="preserve">(iv) Amounts used for program administration by the department may not exceed an average of </w:t>
      </w:r>
      <w:r>
        <w:t>((</w:t>
      </w:r>
      <w:r>
        <w:rPr>
          <w:strike/>
        </w:rPr>
        <w:t xml:space="preserve">four</w:t>
      </w:r>
      <w:r>
        <w:t>))</w:t>
      </w:r>
      <w:r>
        <w:rPr/>
        <w:t xml:space="preserve"> </w:t>
      </w:r>
      <w:r>
        <w:rPr>
          <w:u w:val="single"/>
        </w:rPr>
        <w:t xml:space="preserve">ten</w:t>
      </w:r>
      <w:r>
        <w:rPr/>
        <w:t xml:space="preserve"> percent in any two consecutive fiscal years.</w:t>
      </w:r>
    </w:p>
    <w:p>
      <w:pPr>
        <w:spacing w:before="0" w:after="0" w:line="408" w:lineRule="exact"/>
        <w:ind w:left="0" w:right="0" w:firstLine="576"/>
        <w:jc w:val="left"/>
      </w:pPr>
      <w:r>
        <w:rPr/>
        <w:t xml:space="preserve">(v) Authorizations for expenditures may be given only after private funds are committed. The nongovernmental private-public partnership must report to the department quarterly to demonstrate </w:t>
      </w:r>
      <w:r>
        <w:t>((</w:t>
      </w:r>
      <w:r>
        <w:rPr>
          <w:strike/>
        </w:rPr>
        <w:t xml:space="preserve">sufficient</w:t>
      </w:r>
      <w:r>
        <w:t>))</w:t>
      </w:r>
      <w:r>
        <w:rPr/>
        <w:t xml:space="preserve"> investment of private match funds.</w:t>
      </w:r>
    </w:p>
    <w:p>
      <w:pPr>
        <w:spacing w:before="0" w:after="0" w:line="408" w:lineRule="exact"/>
        <w:ind w:left="0" w:right="0" w:firstLine="576"/>
        <w:jc w:val="left"/>
      </w:pPr>
      <w:r>
        <w:rPr/>
        <w:t xml:space="preserve">(c) Expenditures from the account are subject to appropriation and the allotment provisions of chapter 43.88 RCW.</w:t>
      </w:r>
    </w:p>
    <w:p>
      <w:pPr>
        <w:spacing w:before="0" w:after="0" w:line="408" w:lineRule="exact"/>
        <w:ind w:left="0" w:right="0" w:firstLine="576"/>
        <w:jc w:val="left"/>
      </w:pPr>
      <w:r>
        <w:rPr/>
        <w:t xml:space="preserve">(2) The department must expend moneys from the account to provide state matching funds for partnership activities to implement home visiting services and administer the infrastructure necessary to develop, support, and evaluate evidence-based, research-based, and promising home visiting programs.</w:t>
      </w:r>
    </w:p>
    <w:p>
      <w:pPr>
        <w:spacing w:before="0" w:after="0" w:line="408" w:lineRule="exact"/>
        <w:ind w:left="0" w:right="0" w:firstLine="576"/>
        <w:jc w:val="left"/>
      </w:pPr>
      <w:r>
        <w:rPr/>
        <w:t xml:space="preserve">(3) Activities eligible for funding through the account include, but are not limited to:</w:t>
      </w:r>
    </w:p>
    <w:p>
      <w:pPr>
        <w:spacing w:before="0" w:after="0" w:line="408" w:lineRule="exact"/>
        <w:ind w:left="0" w:right="0" w:firstLine="576"/>
        <w:jc w:val="left"/>
      </w:pPr>
      <w:r>
        <w:rPr/>
        <w:t xml:space="preserve">(a) Home visiting services that achieve one or more of the following: (i) Enhancing child development and well-being by alleviating the effects on child development of poverty and other known risk factors; (ii) reducing the incidence of child abuse and neglect; or (iii) promoting school readiness for young children and their families; and</w:t>
      </w:r>
    </w:p>
    <w:p>
      <w:pPr>
        <w:spacing w:before="0" w:after="0" w:line="408" w:lineRule="exact"/>
        <w:ind w:left="0" w:right="0" w:firstLine="576"/>
        <w:jc w:val="left"/>
      </w:pPr>
      <w:r>
        <w:rPr/>
        <w:t xml:space="preserve">(b) Development and maintenance of the infrastructure for home visiting programs, including training, quality improvement, and evaluation.</w:t>
      </w:r>
    </w:p>
    <w:p>
      <w:pPr>
        <w:spacing w:before="0" w:after="0" w:line="408" w:lineRule="exact"/>
        <w:ind w:left="0" w:right="0" w:firstLine="576"/>
        <w:jc w:val="left"/>
      </w:pPr>
      <w:r>
        <w:rPr/>
        <w:t xml:space="preserve">(4) Beginning July 1, 2010, the department shall contract with the nongovernmental private-public partnership designated in RCW 43.215.070 to </w:t>
      </w:r>
      <w:r>
        <w:t>((</w:t>
      </w:r>
      <w:r>
        <w:rPr>
          <w:strike/>
        </w:rPr>
        <w:t xml:space="preserve">administer</w:t>
      </w:r>
      <w:r>
        <w:t>))</w:t>
      </w:r>
      <w:r>
        <w:rPr/>
        <w:t xml:space="preserve"> </w:t>
      </w:r>
      <w:r>
        <w:rPr>
          <w:u w:val="single"/>
        </w:rPr>
        <w:t xml:space="preserve">support</w:t>
      </w:r>
      <w:r>
        <w:rPr/>
        <w:t xml:space="preserve"> programs funded through the home visiting services account. The department shall monitor performance and provide periodic reports on the </w:t>
      </w:r>
      <w:r>
        <w:t>((</w:t>
      </w:r>
      <w:r>
        <w:rPr>
          <w:strike/>
        </w:rPr>
        <w:t xml:space="preserve">use</w:t>
      </w:r>
      <w:r>
        <w:t>))</w:t>
      </w:r>
      <w:r>
        <w:rPr/>
        <w:t xml:space="preserve"> </w:t>
      </w:r>
      <w:r>
        <w:rPr>
          <w:u w:val="single"/>
        </w:rPr>
        <w:t xml:space="preserve">uses and</w:t>
      </w:r>
      <w:r>
        <w:rPr/>
        <w:t xml:space="preserve"> outcomes of the home visiting services account.</w:t>
      </w:r>
    </w:p>
    <w:p>
      <w:pPr>
        <w:spacing w:before="0" w:after="0" w:line="408" w:lineRule="exact"/>
        <w:ind w:left="0" w:right="0" w:firstLine="576"/>
        <w:jc w:val="left"/>
      </w:pPr>
      <w:r>
        <w:rPr/>
        <w:t xml:space="preserve">(5) The </w:t>
      </w:r>
      <w:r>
        <w:t>((</w:t>
      </w:r>
      <w:r>
        <w:rPr>
          <w:strike/>
        </w:rPr>
        <w:t xml:space="preserve">nongovernmental private-public partnership</w:t>
      </w:r>
      <w:r>
        <w:t>))</w:t>
      </w:r>
      <w:r>
        <w:rPr/>
        <w:t xml:space="preserve"> </w:t>
      </w:r>
      <w:r>
        <w:rPr>
          <w:u w:val="single"/>
        </w:rPr>
        <w:t xml:space="preserve">department</w:t>
      </w:r>
      <w:r>
        <w:rPr/>
        <w:t xml:space="preserve"> shall, in the administration of the programs:</w:t>
      </w:r>
    </w:p>
    <w:p>
      <w:pPr>
        <w:spacing w:before="0" w:after="0" w:line="408" w:lineRule="exact"/>
        <w:ind w:left="0" w:right="0" w:firstLine="576"/>
        <w:jc w:val="left"/>
      </w:pPr>
      <w:r>
        <w:rPr/>
        <w:t xml:space="preserve">(a) Fund programs through a competitive bid process or in compliance with the regulations of the funding source; and</w:t>
      </w:r>
    </w:p>
    <w:p>
      <w:pPr>
        <w:spacing w:before="0" w:after="0" w:line="408" w:lineRule="exact"/>
        <w:ind w:left="0" w:right="0" w:firstLine="576"/>
        <w:jc w:val="left"/>
      </w:pPr>
      <w:r>
        <w:rPr/>
        <w:t xml:space="preserve">(b) Convene an advisory committee of early learning and home visiting experts, including one representative from the department, to advise the partnership regarding research and the distribution of funds from the account to eligible programs.</w:t>
      </w:r>
    </w:p>
    <w:p/>
    <w:p>
      <w:pPr>
        <w:jc w:val="center"/>
      </w:pPr>
      <w:r>
        <w:rPr>
          <w:b/>
        </w:rPr>
        <w:t>--- END ---</w:t>
      </w:r>
    </w:p>
    <w:sectPr>
      <w:pgNumType w:start="1"/>
      <w:footerReference xmlns:r="http://schemas.openxmlformats.org/officeDocument/2006/relationships" r:id="R3bbbbe7661774a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3c004f86a94a0a" /><Relationship Type="http://schemas.openxmlformats.org/officeDocument/2006/relationships/footer" Target="/word/footer.xml" Id="R3bbbbe7661774a0d" /></Relationships>
</file>