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836df777f64f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1809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42</w:t>
            </w:r>
            <w:r>
              <w:t xml:space="preserve">  Nays </w:t>
              <w:t xml:space="preserve">6</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1809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1809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Finance (originally sponsored by Representatives Fey, Orcutt, and McBride)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credits for clean alternative fuel commercial vehicles; amending RCW 82.16.0496; amending 2016 c 29 s 3 (uncodified); reenacting and amending RCW 82.04.4496;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2016 c 29 s 1 are each reenacted and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$25,000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$10,000</w:t>
            </w:r>
            <w:r>
              <w:t>))</w:t>
            </w:r>
            <w:r>
              <w:rPr>
                <w:rFonts w:ascii="Times New Roman" w:hAnsi="Times New Roman"/>
                <w:sz w:val="20"/>
              </w:rPr>
              <w:t xml:space="preserve"> </w:t>
            </w:r>
            <w:r>
              <w:rPr>
                <w:rFonts w:ascii="Times New Roman" w:hAnsi="Times New Roman"/>
                <w:sz w:val="20"/>
                <w:u w:val="single"/>
              </w:rPr>
              <w:t xml:space="preserve">$50,000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$100,000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available for the lease of a vehicle. 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82.16.0496,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w:t>
      </w:r>
      <w:r>
        <w:t>((</w:t>
      </w:r>
      <w:r>
        <w:rPr>
          <w:strike/>
        </w:rPr>
        <w:t xml:space="preserve">its</w:t>
      </w:r>
      <w:r>
        <w:t>))</w:t>
      </w:r>
      <w:r>
        <w:rPr/>
        <w:t xml:space="preserve"> </w:t>
      </w:r>
      <w:r>
        <w:rPr>
          <w:u w:val="single"/>
        </w:rPr>
        <w:t xml:space="preserve">the</w:t>
      </w:r>
      <w:r>
        <w:rPr/>
        <w:t xml:space="preserve"> anticipated duties;</w:t>
      </w:r>
    </w:p>
    <w:p>
      <w:pPr>
        <w:spacing w:before="0" w:after="0" w:line="408" w:lineRule="exact"/>
        <w:ind w:left="0" w:right="0" w:firstLine="576"/>
        <w:jc w:val="left"/>
      </w:pPr>
      <w:r>
        <w:rPr/>
        <w:t xml:space="preserve">(vii) The gross weight of </w:t>
      </w:r>
      <w:r>
        <w:t>((</w:t>
      </w:r>
      <w:r>
        <w:rPr>
          <w:strike/>
        </w:rPr>
        <w:t xml:space="preserve">the</w:t>
      </w:r>
      <w:r>
        <w:t>))</w:t>
      </w:r>
      <w:r>
        <w:rPr/>
        <w:t xml:space="preserve"> </w:t>
      </w:r>
      <w:r>
        <w:rPr>
          <w:u w:val="single"/>
        </w:rPr>
        <w:t xml:space="preserve">each</w:t>
      </w:r>
      <w:r>
        <w:rPr/>
        <w:t xml:space="preserve"> vehicle;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w:t>
      </w:r>
      <w:r>
        <w:t>((</w:t>
      </w:r>
      <w:r>
        <w:rPr>
          <w:strike/>
        </w:rPr>
        <w:t xml:space="preserve">hundred twenty days</w:t>
      </w:r>
      <w:r>
        <w:t>))</w:t>
      </w:r>
      <w:r>
        <w:rPr/>
        <w:t xml:space="preserve"> </w:t>
      </w:r>
      <w:r>
        <w:rPr>
          <w:u w:val="single"/>
        </w:rPr>
        <w:t xml:space="preserve">year</w:t>
      </w:r>
      <w:r>
        <w:rPr/>
        <w:t xml:space="preserve">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w:t>
      </w:r>
      <w:r>
        <w:t>((</w:t>
      </w:r>
      <w:r>
        <w:rPr>
          <w:strike/>
        </w:rPr>
        <w:t xml:space="preserve">the</w:t>
      </w:r>
      <w:r>
        <w:t>))</w:t>
      </w:r>
      <w:r>
        <w:rPr/>
        <w:t xml:space="preserve"> </w:t>
      </w:r>
      <w:r>
        <w:rPr>
          <w:u w:val="single"/>
        </w:rPr>
        <w:t xml:space="preserve">each</w:t>
      </w:r>
      <w:r>
        <w:rPr/>
        <w:t xml:space="preserv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w:t>
      </w:r>
      <w:r>
        <w:t>((</w:t>
      </w:r>
      <w:r>
        <w:rPr>
          <w:strike/>
        </w:rPr>
        <w:t xml:space="preserve">the</w:t>
      </w:r>
      <w:r>
        <w:t>))</w:t>
      </w:r>
      <w:r>
        <w:rPr/>
        <w:t xml:space="preserve"> </w:t>
      </w:r>
      <w:r>
        <w:rPr>
          <w:u w:val="single"/>
        </w:rPr>
        <w:t xml:space="preserve">each</w:t>
      </w:r>
      <w:r>
        <w:rPr/>
        <w:t xml:space="preserv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w:t>
      </w:r>
      <w:r>
        <w:rPr>
          <w:u w:val="single"/>
        </w:rPr>
        <w:t xml:space="preserve">A person applying for credit under subsection (8) of this section may apply for multiple vehicles on the same application, but the application must include the required information for each vehicle included in the application.</w:t>
      </w:r>
    </w:p>
    <w:p>
      <w:pPr>
        <w:spacing w:before="0" w:after="0" w:line="408" w:lineRule="exact"/>
        <w:ind w:left="0" w:right="0" w:firstLine="576"/>
        <w:jc w:val="left"/>
      </w:pPr>
      <w:r>
        <w:rPr>
          <w:u w:val="single"/>
        </w:rPr>
        <w:t xml:space="preserve">(10)</w:t>
      </w:r>
      <w:r>
        <w:rPr/>
        <w:t xml:space="preserve">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a person fails to supply the information as required in subsection (8) of this section, the department must deny the application.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w:t>
      </w:r>
      <w:r>
        <w:t>((</w:t>
      </w:r>
      <w:r>
        <w:rPr>
          <w:strike/>
        </w:rPr>
        <w:t xml:space="preserve">qualifying purchases are made</w:t>
      </w:r>
      <w:r>
        <w:t>))</w:t>
      </w:r>
      <w:r>
        <w:rPr/>
        <w:t xml:space="preserve"> </w:t>
      </w:r>
      <w:r>
        <w:rPr>
          <w:u w:val="single"/>
        </w:rPr>
        <w:t xml:space="preserve">the purchaser</w:t>
      </w:r>
      <w:r>
        <w:rPr/>
        <w:t xml:space="preserve"> or the lessee takes receipt of the qualifying commercial vehicle </w:t>
      </w:r>
      <w:r>
        <w:rPr>
          <w:u w:val="single"/>
        </w:rPr>
        <w:t xml:space="preserve">or the conversion is complete</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w:t>
      </w:r>
    </w:p>
    <w:p>
      <w:pPr>
        <w:spacing w:before="0" w:after="0" w:line="408" w:lineRule="exact"/>
        <w:ind w:left="0" w:right="0" w:firstLine="576"/>
        <w:jc w:val="left"/>
      </w:pPr>
      <w:r>
        <w:rPr>
          <w:u w:val="single"/>
        </w:rPr>
        <w:t xml:space="preserve">(b)</w:t>
      </w:r>
      <w:r>
        <w:rPr/>
        <w:t xml:space="preserve"> "Clean alternative fuel" means electricity, dimethyl ether, hydrogen, methane, natural gas, liquefied natural gas, compressed natural gas, or propane.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"Commercial vehicle" means any commercial vehicle that is purchased by a private business and that is used exclusively in the </w:t>
      </w:r>
      <w:r>
        <w:rPr>
          <w:u w:val="single"/>
        </w:rPr>
        <w:t xml:space="preserve">provision of commercial services or the</w:t>
      </w:r>
      <w:r>
        <w:rPr/>
        <w:t xml:space="preserve"> transportation of commodities, merchandise, produce, refuse, freight, </w:t>
      </w:r>
      <w:r>
        <w:t>((</w:t>
      </w:r>
      <w:r>
        <w:rPr>
          <w:strike/>
        </w:rPr>
        <w:t xml:space="preserve">or</w:t>
      </w:r>
      <w:r>
        <w:t>))</w:t>
      </w:r>
      <w:r>
        <w:rPr/>
        <w:t xml:space="preserve"> animals, </w:t>
      </w:r>
      <w:r>
        <w:rPr>
          <w:u w:val="single"/>
        </w:rPr>
        <w:t xml:space="preserve">or passengers,</w:t>
      </w:r>
      <w:r>
        <w:rPr/>
        <w:t xml:space="preserve"> and that is displaying a Washington state license plate</w:t>
      </w:r>
      <w:r>
        <w:rPr>
          <w:u w:val="single"/>
        </w:rPr>
        <w:t xml:space="preserve">. All commercial vehicles that provide transportation to passengers must be operated by an auto transportation company</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"Lease reduction factor" means the vehicle gross capitalized cost less the residual value, divided by the gross capitalized cost.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"Qualifying used commercial vehicle" means vehicles that:</w:t>
      </w:r>
    </w:p>
    <w:p>
      <w:pPr>
        <w:spacing w:before="0" w:after="0" w:line="408" w:lineRule="exact"/>
        <w:ind w:left="0" w:right="0" w:firstLine="576"/>
        <w:jc w:val="left"/>
      </w:pPr>
      <w:r>
        <w:rPr/>
        <w:t xml:space="preserve">(i) Have an odometer reading of less than </w:t>
      </w:r>
      <w:r>
        <w:t>((</w:t>
      </w:r>
      <w:r>
        <w:rPr>
          <w:strike/>
        </w:rPr>
        <w:t xml:space="preserve">thirty</w:t>
      </w:r>
      <w:r>
        <w:t>))</w:t>
      </w:r>
      <w:r>
        <w:rPr/>
        <w:t xml:space="preserve"> </w:t>
      </w:r>
      <w:r>
        <w:rPr>
          <w:u w:val="single"/>
        </w:rPr>
        <w:t xml:space="preserve">four hundred fifty</w:t>
      </w:r>
      <w:r>
        <w:rPr/>
        <w:t xml:space="preserve"> thousand miles;</w:t>
      </w:r>
    </w:p>
    <w:p>
      <w:pPr>
        <w:spacing w:before="0" w:after="0" w:line="408" w:lineRule="exact"/>
        <w:ind w:left="0" w:right="0" w:firstLine="576"/>
        <w:jc w:val="left"/>
      </w:pPr>
      <w:r>
        <w:rPr/>
        <w:t xml:space="preserve">(ii) Are less than </w:t>
      </w:r>
      <w:r>
        <w:t>((</w:t>
      </w:r>
      <w:r>
        <w:rPr>
          <w:strike/>
        </w:rPr>
        <w:t xml:space="preserve">two</w:t>
      </w:r>
      <w:r>
        <w:t>))</w:t>
      </w:r>
      <w:r>
        <w:rPr/>
        <w:t xml:space="preserve"> </w:t>
      </w:r>
      <w:r>
        <w:rPr>
          <w:u w:val="single"/>
        </w:rPr>
        <w:t xml:space="preserve">ten</w:t>
      </w:r>
      <w:r>
        <w:rPr/>
        <w:t xml:space="preserve">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Credits may be earned under this section from January 1, 2016, through January 1, 2021, except for credits for leased vehicles, which may be earned from July 1, 2016, through January 1, 2021.</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Credits earned under this section may not be used after January 1, 2022.</w:t>
      </w:r>
    </w:p>
    <w:p>
      <w:pPr>
        <w:spacing w:before="0" w:after="0" w:line="408" w:lineRule="exact"/>
        <w:ind w:left="0" w:right="0" w:firstLine="576"/>
        <w:jc w:val="left"/>
      </w:pPr>
      <w:r>
        <w:rPr>
          <w:u w:val="single"/>
        </w:rPr>
        <w:t xml:space="preserve">(18) This section expires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2016 c 29 s 2 are each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$25,000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$10,000</w:t>
            </w:r>
            <w:r>
              <w:t>))</w:t>
            </w:r>
            <w:r>
              <w:rPr>
                <w:rFonts w:ascii="Times New Roman" w:hAnsi="Times New Roman"/>
                <w:sz w:val="20"/>
              </w:rPr>
              <w:t xml:space="preserve"> </w:t>
            </w:r>
            <w:r>
              <w:rPr>
                <w:rFonts w:ascii="Times New Roman" w:hAnsi="Times New Roman"/>
                <w:sz w:val="20"/>
                <w:u w:val="single"/>
              </w:rPr>
              <w:t xml:space="preserve">$50,000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$100,000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12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available for the lease of a vehicle. 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82.04.4496,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w:t>
      </w:r>
      <w:r>
        <w:t>((</w:t>
      </w:r>
      <w:r>
        <w:rPr>
          <w:strike/>
        </w:rPr>
        <w:t xml:space="preserve">its</w:t>
      </w:r>
      <w:r>
        <w:t>))</w:t>
      </w:r>
      <w:r>
        <w:rPr/>
        <w:t xml:space="preserve"> </w:t>
      </w:r>
      <w:r>
        <w:rPr>
          <w:u w:val="single"/>
        </w:rPr>
        <w:t xml:space="preserve">the</w:t>
      </w:r>
      <w:r>
        <w:rPr/>
        <w:t xml:space="preserve"> anticipated duties;</w:t>
      </w:r>
    </w:p>
    <w:p>
      <w:pPr>
        <w:spacing w:before="0" w:after="0" w:line="408" w:lineRule="exact"/>
        <w:ind w:left="0" w:right="0" w:firstLine="576"/>
        <w:jc w:val="left"/>
      </w:pPr>
      <w:r>
        <w:rPr/>
        <w:t xml:space="preserve">(vii) The gross weight of </w:t>
      </w:r>
      <w:r>
        <w:t>((</w:t>
      </w:r>
      <w:r>
        <w:rPr>
          <w:strike/>
        </w:rPr>
        <w:t xml:space="preserve">the</w:t>
      </w:r>
      <w:r>
        <w:t>))</w:t>
      </w:r>
      <w:r>
        <w:rPr/>
        <w:t xml:space="preserve"> </w:t>
      </w:r>
      <w:r>
        <w:rPr>
          <w:u w:val="single"/>
        </w:rPr>
        <w:t xml:space="preserve">each</w:t>
      </w:r>
      <w:r>
        <w:rPr/>
        <w:t xml:space="preserve"> vehicle;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w:t>
      </w:r>
      <w:r>
        <w:t>((</w:t>
      </w:r>
      <w:r>
        <w:rPr>
          <w:strike/>
        </w:rPr>
        <w:t xml:space="preserve">hundred twenty days</w:t>
      </w:r>
      <w:r>
        <w:t>))</w:t>
      </w:r>
      <w:r>
        <w:rPr/>
        <w:t xml:space="preserve"> </w:t>
      </w:r>
      <w:r>
        <w:rPr>
          <w:u w:val="single"/>
        </w:rPr>
        <w:t xml:space="preserve">year</w:t>
      </w:r>
      <w:r>
        <w:rPr/>
        <w:t xml:space="preserve">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w:t>
      </w:r>
      <w:r>
        <w:t>((</w:t>
      </w:r>
      <w:r>
        <w:rPr>
          <w:strike/>
        </w:rPr>
        <w:t xml:space="preserve">the</w:t>
      </w:r>
      <w:r>
        <w:t>))</w:t>
      </w:r>
      <w:r>
        <w:rPr/>
        <w:t xml:space="preserve"> </w:t>
      </w:r>
      <w:r>
        <w:rPr>
          <w:u w:val="single"/>
        </w:rPr>
        <w:t xml:space="preserve">each</w:t>
      </w:r>
      <w:r>
        <w:rPr/>
        <w:t xml:space="preserv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w:t>
      </w:r>
      <w:r>
        <w:rPr>
          <w:u w:val="single"/>
        </w:rPr>
        <w:t xml:space="preserve">A person applying for credit under subsection (8) of this section may apply for multiple vehicles on the same application, but the application must include the required information for each vehicle included in the application.</w:t>
      </w:r>
    </w:p>
    <w:p>
      <w:pPr>
        <w:spacing w:before="0" w:after="0" w:line="408" w:lineRule="exact"/>
        <w:ind w:left="0" w:right="0" w:firstLine="576"/>
        <w:jc w:val="left"/>
      </w:pPr>
      <w:r>
        <w:rPr>
          <w:u w:val="single"/>
        </w:rPr>
        <w:t xml:space="preserve">(10)</w:t>
      </w:r>
      <w:r>
        <w:rPr/>
        <w:t xml:space="preserve">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a person fails to supply the information as required in subsection (8) of this section, the department must deny the application.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w:t>
      </w:r>
      <w:r>
        <w:t>((</w:t>
      </w:r>
      <w:r>
        <w:rPr>
          <w:strike/>
        </w:rPr>
        <w:t xml:space="preserve">qualifying purchases are made</w:t>
      </w:r>
      <w:r>
        <w:t>))</w:t>
      </w:r>
      <w:r>
        <w:rPr/>
        <w:t xml:space="preserve"> </w:t>
      </w:r>
      <w:r>
        <w:rPr>
          <w:u w:val="single"/>
        </w:rPr>
        <w:t xml:space="preserve">the purchaser</w:t>
      </w:r>
      <w:r>
        <w:rPr/>
        <w:t xml:space="preserve"> or the lessee takes receipt of the qualifying commercial vehicle </w:t>
      </w:r>
      <w:r>
        <w:rPr>
          <w:u w:val="single"/>
        </w:rPr>
        <w:t xml:space="preserve">or the conversion is complete</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definitions in RCW 82.04.4496 apply to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Credits may be earned under this section from January 1, 2016, through January 1, 2021, except for credits for leased vehicles, which may be earned from July 1, 2016, through January 1, 2021.</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Credits earned under this section may not be used after January 1, 2022.</w:t>
      </w:r>
    </w:p>
    <w:p>
      <w:pPr>
        <w:spacing w:before="0" w:after="0" w:line="408" w:lineRule="exact"/>
        <w:ind w:left="0" w:right="0" w:firstLine="576"/>
        <w:jc w:val="left"/>
      </w:pPr>
      <w:r>
        <w:rPr>
          <w:u w:val="single"/>
        </w:rPr>
        <w:t xml:space="preserve">(18) This section expires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29 s 3</w:t>
      </w:r>
      <w:r>
        <w:rPr/>
        <w:t xml:space="preserve"> (uncodified) is amended to read as follows:</w:t>
      </w:r>
    </w:p>
    <w:p>
      <w:pPr>
        <w:spacing w:before="0" w:after="0" w:line="408" w:lineRule="exact"/>
        <w:ind w:left="0" w:right="0" w:firstLine="576"/>
        <w:jc w:val="left"/>
      </w:pPr>
      <w:r>
        <w:rPr/>
        <w:t xml:space="preserve">(1) This section and sections 411 and 412 of this act may be known and cited as the clean fuel vehicle incentives act.</w:t>
      </w:r>
    </w:p>
    <w:p>
      <w:pPr>
        <w:spacing w:before="0" w:after="0" w:line="408" w:lineRule="exact"/>
        <w:ind w:left="0" w:right="0" w:firstLine="576"/>
        <w:jc w:val="left"/>
      </w:pPr>
      <w:r>
        <w:rPr/>
        <w:t xml:space="preserve">(2) The legislature finds that cleaner fuels reduce greenhouse gas emissions in the transportation sector and lead to a more sustainable environment. The legislature further finds that alternative fuel vehicles cost more than comparable models of conventional fuel vehicles, particularly in the commercial market. The legislature further finds the higher cost of alternative fuel vehicles incentivize companies to purchase comparable models of conventional fuel vehicles. The legislature further finds that other states provide various tax credits and exemptions. The legislature further finds incentivizing businesses to purchase cleaner, alternative fuel vehicles is a collaborative step toward meeting the state's climate and environmental goals.</w:t>
      </w:r>
    </w:p>
    <w:p>
      <w:pPr>
        <w:spacing w:before="0" w:after="0" w:line="408" w:lineRule="exact"/>
        <w:ind w:left="0" w:right="0" w:firstLine="576"/>
        <w:jc w:val="left"/>
      </w:pPr>
      <w:r>
        <w:rPr/>
        <w:t xml:space="preserve">(3)(a) This subsection is the tax preference performance statement for the clean alternative fuel vehicle tax credits provided in </w:t>
      </w:r>
      <w:r>
        <w:t>((</w:t>
      </w:r>
      <w:r>
        <w:rPr>
          <w:strike/>
        </w:rPr>
        <w:t xml:space="preserve">RCW 82.04.4496 and 82.16.0496</w:t>
      </w:r>
      <w:r>
        <w:t>))</w:t>
      </w:r>
      <w:r>
        <w:rPr/>
        <w:t xml:space="preserve"> </w:t>
      </w:r>
      <w:r>
        <w:rPr>
          <w:u w:val="single"/>
        </w:rPr>
        <w:t xml:space="preserve">section 1, chapter . . . , Laws of 2017 (section 1 of this act), sections 1 and 2, chapter 29, Laws of 2016, and sections 411 and 412, chapter 44, Laws of 2015 3rd sp. sess</w:t>
      </w:r>
      <w:r>
        <w:rPr/>
        <w:t xml:space="preserve">.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induce certain designated behavior by taxpayers.</w:t>
      </w:r>
    </w:p>
    <w:p>
      <w:pPr>
        <w:spacing w:before="0" w:after="0" w:line="408" w:lineRule="exact"/>
        <w:ind w:left="0" w:right="0" w:firstLine="576"/>
        <w:jc w:val="left"/>
      </w:pPr>
      <w:r>
        <w:rPr/>
        <w:t xml:space="preserve">(c) It is the legislature's specific public policy objective to provide a credit against business and occupation and public utility taxes to increase sales of commercial vehicles that use clean alternative fuel to ten percent of commercial vehicle sales by 2021.</w:t>
      </w:r>
    </w:p>
    <w:p>
      <w:pPr>
        <w:spacing w:before="0" w:after="0" w:line="408" w:lineRule="exact"/>
        <w:ind w:left="0" w:right="0" w:firstLine="576"/>
        <w:jc w:val="left"/>
      </w:pPr>
      <w:r>
        <w:rPr/>
        <w:t xml:space="preserve">(d) To measure the effectiveness of the credit provided in </w:t>
      </w:r>
      <w:r>
        <w:t>((</w:t>
      </w:r>
      <w:r>
        <w:rPr>
          <w:strike/>
        </w:rPr>
        <w:t xml:space="preserve">this act</w:t>
      </w:r>
      <w:r>
        <w:t>))</w:t>
      </w:r>
      <w:r>
        <w:rPr/>
        <w:t xml:space="preserve"> </w:t>
      </w:r>
      <w:r>
        <w:rPr>
          <w:u w:val="single"/>
        </w:rPr>
        <w:t xml:space="preserve">section 1, chapter . . ., Laws of 2017 (section 1 of this act), sections 1 and 2, chapter 29, Laws of 2016, and sections 411 and 412, chapter 44, Laws of 2015 3rd sp. sess.</w:t>
      </w:r>
      <w:r>
        <w:rPr/>
        <w:t xml:space="preserve"> in achieving the specific public policy objective described in (c) of this subsection, the joint legislative audit and review committee must, at minimum, evaluate the changes in the number of commercial vehicles that are powered by clean alternative fuel that are registered in Washington state.</w:t>
      </w:r>
    </w:p>
    <w:p>
      <w:pPr>
        <w:spacing w:before="0" w:after="0" w:line="408" w:lineRule="exact"/>
        <w:ind w:left="0" w:right="0" w:firstLine="576"/>
        <w:jc w:val="left"/>
      </w:pPr>
      <w:r>
        <w:rPr/>
        <w:t xml:space="preserve">(e)(i) The department of licensing must provide data needed for the joint legislative audit and review committee's analysis in (d) of this subsection.</w:t>
      </w:r>
    </w:p>
    <w:p>
      <w:pPr>
        <w:spacing w:before="0" w:after="0" w:line="408" w:lineRule="exact"/>
        <w:ind w:left="0" w:right="0" w:firstLine="576"/>
        <w:jc w:val="left"/>
      </w:pPr>
      <w:r>
        <w:rPr/>
        <w:t xml:space="preserve">(ii) In addition to the data source described under (e)(i) of this subsection, the joint legislative audit and review committee may use any other data it deems necessary in performing the evaluation under (d)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d855c5ff5e2043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42b602f0fa4c3b" /><Relationship Type="http://schemas.openxmlformats.org/officeDocument/2006/relationships/footer" Target="/word/footer.xml" Id="Rd855c5ff5e2043e9" /></Relationships>
</file>