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ce7d97ba9d4a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1849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1849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1849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Sells, Doglio, Pollet, Ormsby, Tharinger, and Farrell</w:t>
      </w:r>
    </w:p>
    <w:p/>
    <w:p>
      <w:r>
        <w:rPr>
          <w:t xml:space="preserve">Read first time 02/01/17.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39.04.320; adding a new section to chapter 49.04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Within existing resources, awarding agencies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must report the apprenticeship utilization by contractor and subcontractor to the supervisor of apprenticeship at the department of labor and industries by final project acceptance. The electronic reporting system that is being developed by the department of labor and industries may be used for either or both monitoring and reporting apprenticeship utilization hours.</w:t>
      </w:r>
    </w:p>
    <w:p>
      <w:pPr>
        <w:spacing w:before="0" w:after="0" w:line="408" w:lineRule="exact"/>
        <w:ind w:left="0" w:right="0" w:firstLine="576"/>
        <w:jc w:val="left"/>
      </w:pPr>
      <w:r>
        <w:rPr>
          <w:u w:val="single"/>
        </w:rPr>
        <w:t xml:space="preserve">(c) In lieu of the monetary penalty and incentive requirements specified in (b) of this subsection, the Washington state department of transportation may use its three strike system for ensuring compliance including the allowance for a good faith effort.</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must include specifications that a contractor or subcontractor may not be required to exceed the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must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b50221cf75394c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33705b79e461f" /><Relationship Type="http://schemas.openxmlformats.org/officeDocument/2006/relationships/footer" Target="/word/footer.xml" Id="Rb50221cf75394c89" /></Relationships>
</file>