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d9ecd376504a8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1877</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2017</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2017</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1877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1877</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Transportation (originally sponsored by Representative Stanford)</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release of driving record abstract information affecting registered tow truck operators; and amending RCW 46.52.130.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2015 2nd sp.s. c 3 s 12 are each amended to read as follows:</w:t>
      </w:r>
    </w:p>
    <w:p>
      <w:pPr>
        <w:spacing w:before="0" w:after="0" w:line="408" w:lineRule="exact"/>
        <w:ind w:left="0" w:right="0" w:firstLine="576"/>
        <w:jc w:val="left"/>
      </w:pPr>
      <w:r>
        <w:rPr/>
        <w:t xml:space="preserve">Upon a proper request, the department may furnish an abstract of a person's driving record as permitted under this section.</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or that named individual's attorney,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spacing w:before="0" w:after="0" w:line="408" w:lineRule="exact"/>
        <w:ind w:left="0" w:right="0" w:firstLine="576"/>
        <w:jc w:val="left"/>
      </w:pPr>
      <w:r>
        <w:rPr/>
        <w:t xml:space="preserve">(b) </w:t>
      </w:r>
      <w:r>
        <w:rPr>
          <w:b/>
        </w:rPr>
        <w:t xml:space="preserve">Employers or prospective employers.</w:t>
      </w:r>
      <w:r>
        <w:rPr/>
        <w:t xml:space="preserve"> (i)(A) An abstract of the full driving record maintained by the department may be furnished to an employer or prospective employer or an agent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rPr/>
        <w:t xml:space="preserve">(B) Release of an abstract of the driving record of an employee or prospective employee requires a statement signed by: (I) The employee or prospective employee that authorizes the release of the record; and (II) the employer attesting that the information is necessary for employment purposes related to driving by the individual as a condition of employment or otherwise at the direction of the employer. If the employer or prospective employer authorizes an agent to obtain this information on their behalf, this must be noted in the statement. The statement must also note that any information contained in the abstract related to an adjudication that is subject to a court order sealing the juvenile record of an employee or prospective employee may not be used by the employer or prospective employer, or an agent authorized to obtain this information on their behalf, unless required by federal regulation or law. The employer or prospective employer must afford the employee or prospective employee an opportunity to demonstrate that an adjudication contained in the abstract is subject to a court order sealing the juvenile record.</w:t>
      </w:r>
    </w:p>
    <w:p>
      <w:pPr>
        <w:spacing w:before="0" w:after="0" w:line="408" w:lineRule="exact"/>
        <w:ind w:left="0" w:right="0" w:firstLine="576"/>
        <w:jc w:val="left"/>
      </w:pPr>
      <w:r>
        <w:rPr/>
        <w:t xml:space="preserve">(C)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rPr/>
        <w:t xml:space="preserve">(D) No employer or prospective employer, nor any agent of an employer or prospective employer, may use information contained in the abstract related to an adjudication that is subject to a court order sealing the juvenile record of an employee or prospective employee for any purpose unless required by federal regulation or law. The employee or prospective employee must furnish a copy of the court order sealing the juvenile record to the employer or prospective employer, or the agent of the employer or prospective employer, as may be required to ensure the application of this subsection.</w:t>
      </w:r>
    </w:p>
    <w:p>
      <w:pPr>
        <w:spacing w:before="0" w:after="0" w:line="408" w:lineRule="exact"/>
        <w:ind w:left="0" w:right="0" w:firstLine="576"/>
        <w:jc w:val="left"/>
      </w:pPr>
      <w:r>
        <w:rPr/>
        <w:t xml:space="preserve">(ii) In addition to the methods described in (b)(i) of this subsection, the director may enter into a contractual agreement with an employer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 of a transit authority checking prospective volunteer vanpool drivers for insurance and risk management needs.</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w:t>
      </w:r>
      <w:r>
        <w:t>((</w:t>
      </w:r>
      <w:r>
        <w:rPr>
          <w:strike/>
        </w:rPr>
        <w:t xml:space="preserve">,</w:t>
      </w:r>
      <w:r>
        <w:t>))</w:t>
      </w:r>
      <w:r>
        <w:rPr>
          <w:u w:val="single"/>
        </w:rPr>
        <w:t xml:space="preserve">;</w:t>
      </w:r>
      <w:r>
        <w:rPr/>
        <w:t xml:space="preserve"> or by Washington state patrol officers, while driving official vehicles in the performance of their occupational duty</w:t>
      </w:r>
      <w:r>
        <w:rPr>
          <w:u w:val="single"/>
        </w:rPr>
        <w:t xml:space="preserve">; or by registered tow truck operators as defined in RCW 46.55.010 in the performance of their occupational duties while at the scene of a roadside impound or recovery, so long as they are not issued a citation</w:t>
      </w:r>
      <w:r>
        <w:rPr/>
        <w:t xml:space="preserve">.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 for underwriting purposes relating to the operation of commercial motor vehicles, may not use any information contained in the abstract relative to any person's operation of motor vehicles while not engaged in such employment. Any insurance company or its agent, for underwriting purposes relating to the operation of noncommercial motor vehicles, may not use any information contained in the abstract relative to any person's operation of commercial motor vehicles.</w:t>
      </w:r>
    </w:p>
    <w:p>
      <w:pPr>
        <w:spacing w:before="0" w:after="0" w:line="408" w:lineRule="exact"/>
        <w:ind w:left="0" w:right="0" w:firstLine="576"/>
        <w:jc w:val="left"/>
      </w:pPr>
      <w:r>
        <w:rPr/>
        <w:t xml:space="preserve">(v) The director may enter into a contractual agreement with an insurance company or its agent for the limited purpose of reviewing the driving records of existing policyholders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social and health services to which the named individual has applied or been assigned for evaluation or treatment, for purposes of assisting employees in making a determination as to what level of treatment, if any, is appropriate, except that the abstract must:</w:t>
      </w:r>
    </w:p>
    <w:p>
      <w:pPr>
        <w:spacing w:before="0" w:after="0" w:line="408" w:lineRule="exact"/>
        <w:ind w:left="0" w:right="0" w:firstLine="576"/>
        <w:jc w:val="left"/>
      </w:pPr>
      <w:r>
        <w:rPr/>
        <w:t xml:space="preserve">(i) Also include records of alcohol-related offenses, as defined in RCW 46.01.260(2), covering a period of not more than the last ten years;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rPr>
        <w:t xml:space="preserve">Attorneys</w:t>
      </w:r>
      <w:r>
        <w:rPr>
          <w:rFonts w:ascii="Times New Roman" w:hAnsi="Times New Roman"/>
          <w:b/>
        </w:rPr>
        <w:t xml:space="preserve">—</w:t>
      </w:r>
      <w:r>
        <w:rPr>
          <w:b/>
        </w:rPr>
        <w:t xml:space="preserve">City attorneys, county prosecuting attorneys, and named individual's attorney of record.</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county prosecuting attorneys, or the named individual's attorney of record. City attorneys, county prosecuting attorneys, or the named individual's attorney of record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for employment and risk management purposes.</w:t>
      </w:r>
    </w:p>
    <w:p>
      <w:pPr>
        <w:spacing w:before="0" w:after="0" w:line="408" w:lineRule="exact"/>
        <w:ind w:left="0" w:right="0" w:firstLine="576"/>
        <w:jc w:val="left"/>
      </w:pPr>
      <w:r>
        <w:rPr/>
        <w:t xml:space="preserve">(i) </w:t>
      </w:r>
      <w:r>
        <w:rPr>
          <w:b/>
        </w:rPr>
        <w:t xml:space="preserve">Superintendent of public instruction.</w:t>
      </w:r>
      <w:r>
        <w:rPr/>
        <w:t xml:space="preserve">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t xml:space="preserve">(3) </w:t>
      </w:r>
      <w:r>
        <w:rPr>
          <w:b/>
        </w:rPr>
        <w:t xml:space="preserve">Release to third parties prohibited.</w:t>
      </w:r>
      <w:r>
        <w:rPr/>
        <w:t xml:space="preserve"> Any person or entity receiving an abstract of a person's driving record under subsection (2)(b) through (i)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t xml:space="preserve">(4) </w:t>
      </w:r>
      <w:r>
        <w:rPr>
          <w:b/>
        </w:rPr>
        <w:t xml:space="preserve">Fee.</w:t>
      </w:r>
      <w:r>
        <w:rPr/>
        <w:t xml:space="preserve"> The director shall collect a thirteen dollar fee for each abstract of a person's driving record furnished by the department. Fifty percent of the fee must be deposited in the highway safety fund, and fifty percent of the fee must be deposited according to RCW 46.68.038.</w:t>
      </w:r>
    </w:p>
    <w:p>
      <w:pPr>
        <w:spacing w:before="0" w:after="0" w:line="408" w:lineRule="exact"/>
        <w:ind w:left="0" w:right="0" w:firstLine="576"/>
        <w:jc w:val="left"/>
      </w:pPr>
      <w:r>
        <w:rPr/>
        <w:t xml:space="preserve">(5)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0" w:after="0" w:line="408" w:lineRule="exact"/>
        <w:ind w:left="0" w:right="0" w:firstLine="576"/>
        <w:jc w:val="left"/>
      </w:pPr>
      <w:r>
        <w:rPr/>
        <w:t xml:space="preserve">(6) Effective July 1, 2019, the contents of a driving abstract pursuant to this section shall not include any information related to sealed juvenile records unless that information is required by federal law or regulation.</w:t>
      </w:r>
    </w:p>
    <w:p/>
    <w:p>
      <w:pPr>
        <w:jc w:val="center"/>
      </w:pPr>
      <w:r>
        <w:rPr>
          <w:b/>
        </w:rPr>
        <w:t>--- END ---</w:t>
      </w:r>
    </w:p>
    <w:sectPr>
      <w:pgNumType w:start="1"/>
      <w:footerReference xmlns:r="http://schemas.openxmlformats.org/officeDocument/2006/relationships" r:id="R4850c7a9f53f46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1877.PL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3f07a70174446b" /><Relationship Type="http://schemas.openxmlformats.org/officeDocument/2006/relationships/footer" Target="/word/footer.xml" Id="R4850c7a9f53f46c1" /></Relationships>
</file>