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74e81456b547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2005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2005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2005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Lytton, Nealey, Kagi, and Ormsby</w:t>
      </w:r>
    </w:p>
    <w:p/>
    <w:p>
      <w:r>
        <w:rPr>
          <w:t xml:space="preserve">Read first time 02/07/17.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business climate in this state by simplifying the administration of municipal general business licenses; adding a new chapter to Title 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 or</w:t>
      </w:r>
    </w:p>
    <w:p>
      <w:pPr>
        <w:spacing w:before="0" w:after="0" w:line="408" w:lineRule="exact"/>
        <w:ind w:left="0" w:right="0" w:firstLine="576"/>
        <w:jc w:val="left"/>
      </w:pPr>
      <w:r>
        <w:rPr/>
        <w:t xml:space="preserve">(iii) Between July 1, 2017 and December 31, 2022, the department must partner with all cities requiring a general business license if specific funding for the purposes of this subsection (iii) is appropriated in the omnibus appropriations act.</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 or</w:t>
      </w:r>
    </w:p>
    <w:p>
      <w:pPr>
        <w:spacing w:before="0" w:after="0" w:line="408" w:lineRule="exact"/>
        <w:ind w:left="0" w:right="0" w:firstLine="576"/>
        <w:jc w:val="left"/>
      </w:pPr>
      <w:r>
        <w:rPr/>
        <w:t xml:space="preserve">(d) The department receives a written notice from a city within sixty days of the date that the city appears on the department's biennial partnership plan, which includes an explanation of the fiscal or technical challenges causing the city to delay joining the system. A delay under this subsection (3)(d) may be for no more than three years.</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 the city participates in the online local business license and tax filing portal known as "FileLocal" as of July 1, 2020. For the purposes of this subsection (7),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2020, must partner with the department for the issuance and renewal of its general business license as provided in subsection (1) of this section.</w:t>
      </w:r>
    </w:p>
    <w:p>
      <w:pPr>
        <w:spacing w:before="0" w:after="0" w:line="408" w:lineRule="exact"/>
        <w:ind w:left="0" w:right="0" w:firstLine="576"/>
        <w:jc w:val="left"/>
      </w:pPr>
      <w:r>
        <w:rPr/>
        <w:t xml:space="preserve">(8) By January 1, 2019, and each January 1st thereafter through January 1, 2028, the department must submit a progress report to the legislature.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department.</w:t>
      </w:r>
    </w:p>
    <w:p>
      <w:pPr>
        <w:spacing w:before="0" w:after="0" w:line="408" w:lineRule="exact"/>
        <w:ind w:left="0" w:right="0" w:firstLine="576"/>
        <w:jc w:val="left"/>
      </w:pPr>
      <w:r>
        <w:rPr/>
        <w:t xml:space="preserve">(b) The task force may seek input or collaborate with other parties, as it deems necessary. The department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63bba9e8978346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e5fb3434fe45e6" /><Relationship Type="http://schemas.openxmlformats.org/officeDocument/2006/relationships/footer" Target="/word/footer.xml" Id="R63bba9e89783469e" /></Relationships>
</file>