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d4ea0a0c24d1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2106</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15, 2017</w:t>
            </w:r>
          </w:p>
          <w:p>
            <w:pPr>
              <w:ind w:left="0" w:right="0" w:firstLine="360"/>
            </w:pPr>
            <w:r>
              <w:t xml:space="preserve">Yeas </w:t>
              <w:t xml:space="preserve">95</w:t>
            </w:r>
            <w:r>
              <w:t xml:space="preserve">  Nays </w:t>
              <w:t xml:space="preserve">1</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2017</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2106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2106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State Government, Elections &amp; Information Technology (originally sponsored by Representatives Koster, Hudgins, Taylor, and Shea)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election year restrictions on state legislators; amending RCW 42.52.180 and 42.52.185;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prohibition on the use of public resources for campaign purposes serves an important purpose, but that the period prohibiting state legislators from communicating with constituents at public expense is unnecessary once the election, and the campaign itself, has ended. Furthermore, the delay in constituent outreach after the election only hinders a legislator's ability to quickly and effectively respond to requests and keep the public informed about current state issues, and the various deadlines relating to mailed, emailed, and web site communications are confusing and need to be harmonized. For these reasons, the legislature intends to change mailed, emailed, and web site communication deadlines to the same time periods, in order to allow legislators to actively engage with the public on official legislative business in a timely and effective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180</w:t>
      </w:r>
      <w:r>
        <w:rPr/>
        <w:t xml:space="preserve"> and 2011 c 60 s 30 are each amended to read as follows:</w:t>
      </w:r>
    </w:p>
    <w:p>
      <w:pPr>
        <w:spacing w:before="0" w:after="0" w:line="408" w:lineRule="exact"/>
        <w:ind w:left="0" w:right="0" w:firstLine="576"/>
        <w:jc w:val="left"/>
      </w:pPr>
      <w:r>
        <w:rPr/>
        <w:t xml:space="preserve">(1) No state officer or state employee may use or authorize the use of facilities of an agency, directly or indirectly, for the purpose of assisting a campaign for election of a person to an office or for the promotion of or opposition to a ballot proposition. Knowing acquiescence by a person with authority to direct, control, or influence the actions of the state officer or state employee using public resources in violation of this section constitutes a violation of this section. Facilities of an agency include, but are not limited to, use of stationery, postage, machines, and equipment, use of state employees of the agency during working hours, vehicles, office space, publications of the agency, and clientele lists of persons served by the agency.</w:t>
      </w:r>
    </w:p>
    <w:p>
      <w:pPr>
        <w:spacing w:before="0" w:after="0" w:line="408" w:lineRule="exact"/>
        <w:ind w:left="0" w:right="0" w:firstLine="576"/>
        <w:jc w:val="left"/>
      </w:pPr>
      <w:r>
        <w:rPr/>
        <w:t xml:space="preserve">(2) This section shall not apply to the following activities:</w:t>
      </w:r>
    </w:p>
    <w:p>
      <w:pPr>
        <w:spacing w:before="0" w:after="0" w:line="408" w:lineRule="exact"/>
        <w:ind w:left="0" w:right="0" w:firstLine="576"/>
        <w:jc w:val="left"/>
      </w:pPr>
      <w:r>
        <w:rPr/>
        <w:t xml:space="preserve">(a) Action taken at an open public meeting by members of an elected legislative body to express a collective decision, or to actually vote upon a motion, proposal, resolution, order, or ordinance, or to support or oppose a ballot proposition as long as (i) required notice of the meeting includes the title and number of the ballot proposition, and (ii) members of the legislative body or members of the public are afforded an approximately equal opportunity for the expression of an opposing view;</w:t>
      </w:r>
    </w:p>
    <w:p>
      <w:pPr>
        <w:spacing w:before="0" w:after="0" w:line="408" w:lineRule="exact"/>
        <w:ind w:left="0" w:right="0" w:firstLine="576"/>
        <w:jc w:val="left"/>
      </w:pPr>
      <w:r>
        <w:rPr/>
        <w:t xml:space="preserve">(b) A statement by an elected official in support of or in opposition to any ballot proposition at an open press conference or in response to a specific inquiry. For the purposes of this subsection, it is not a violation of this section for an elected official to respond to an inquiry regarding a ballot proposition, to make incidental remarks concerning a ballot proposition in an official communication, or otherwise comment on a ballot proposition without an actual, measurable expenditure of public funds. The ethics boards shall adopt by rule a definition of measurable expenditure;</w:t>
      </w:r>
    </w:p>
    <w:p>
      <w:pPr>
        <w:spacing w:before="0" w:after="0" w:line="408" w:lineRule="exact"/>
        <w:ind w:left="0" w:right="0" w:firstLine="576"/>
        <w:jc w:val="left"/>
      </w:pPr>
      <w:r>
        <w:rPr/>
        <w:t xml:space="preserve">(c) The maintenance of official legislative web sites throughout the year, regardless of pending elections. The web sites may contain any discretionary material which was also specifically prepared for the legislator in the course of his or her duties as a legislator, including newsletters and press releases. The official legislative web sites of legislators seeking reelection </w:t>
      </w:r>
      <w:r>
        <w:rPr>
          <w:u w:val="single"/>
        </w:rPr>
        <w:t xml:space="preserve">or election to any office</w:t>
      </w:r>
      <w:r>
        <w:rPr/>
        <w:t xml:space="preserve"> shall not be altered </w:t>
      </w:r>
      <w:r>
        <w:t>((</w:t>
      </w:r>
      <w:r>
        <w:rPr>
          <w:strike/>
        </w:rPr>
        <w:t xml:space="preserve">between June 30th and November 15th</w:t>
      </w:r>
      <w:r>
        <w:t>))</w:t>
      </w:r>
      <w:r>
        <w:rPr>
          <w:u w:val="single"/>
        </w:rPr>
        <w:t xml:space="preserve">, other than during a special legislative session, beginning on the first day of the declaration of candidacy filing period specified in RCW 29A.24.050 through the date of certification of the general election</w:t>
      </w:r>
      <w:r>
        <w:rPr/>
        <w:t xml:space="preserve"> of the election year. The web site shall not be used for campaign purposes;</w:t>
      </w:r>
    </w:p>
    <w:p>
      <w:pPr>
        <w:spacing w:before="0" w:after="0" w:line="408" w:lineRule="exact"/>
        <w:ind w:left="0" w:right="0" w:firstLine="576"/>
        <w:jc w:val="left"/>
      </w:pPr>
      <w:r>
        <w:rPr/>
        <w:t xml:space="preserve">(d) Activities that are part of the normal and regular conduct of the office or agency; and</w:t>
      </w:r>
    </w:p>
    <w:p>
      <w:pPr>
        <w:spacing w:before="0" w:after="0" w:line="408" w:lineRule="exact"/>
        <w:ind w:left="0" w:right="0" w:firstLine="576"/>
        <w:jc w:val="left"/>
      </w:pPr>
      <w:r>
        <w:rPr/>
        <w:t xml:space="preserve">(e) De minimis use of public facilities by statewide elected officials and legislators incidental to the preparation or delivery of permissible communications, including written and verbal communications initiated by them of their views on ballot propositions that foreseeably may affect a matter that falls within their constitutional or statutory responsibilities.</w:t>
      </w:r>
    </w:p>
    <w:p>
      <w:pPr>
        <w:spacing w:before="0" w:after="0" w:line="408" w:lineRule="exact"/>
        <w:ind w:left="0" w:right="0" w:firstLine="576"/>
        <w:jc w:val="left"/>
      </w:pPr>
      <w:r>
        <w:rPr/>
        <w:t xml:space="preserve">(3) As to state officers and employees, this section operates to the exclusion of RCW 42.17A.555.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52</w:t>
      </w:r>
      <w:r>
        <w:rPr/>
        <w:t xml:space="preserve">.</w:t>
      </w:r>
      <w:r>
        <w:t xml:space="preserve">185</w:t>
      </w:r>
      <w:r>
        <w:rPr/>
        <w:t xml:space="preserve"> and 2011 c 60 s 31 are each amended to read as follows:</w:t>
      </w:r>
    </w:p>
    <w:p>
      <w:pPr>
        <w:spacing w:before="0" w:after="0" w:line="408" w:lineRule="exact"/>
        <w:ind w:left="0" w:right="0" w:firstLine="576"/>
        <w:jc w:val="left"/>
      </w:pPr>
      <w:r>
        <w:rPr/>
        <w:t xml:space="preserve">(1) During the </w:t>
      </w:r>
      <w:r>
        <w:t>((</w:t>
      </w:r>
      <w:r>
        <w:rPr>
          <w:strike/>
        </w:rPr>
        <w:t xml:space="preserve">twelve-month</w:t>
      </w:r>
      <w:r>
        <w:t>))</w:t>
      </w:r>
      <w:r>
        <w:rPr/>
        <w:t xml:space="preserve"> period beginning on December 1st of the year before a general election for a state legislator's election to office and continuing through </w:t>
      </w:r>
      <w:r>
        <w:t>((</w:t>
      </w:r>
      <w:r>
        <w:rPr>
          <w:strike/>
        </w:rPr>
        <w:t xml:space="preserve">November 30th immediately after</w:t>
      </w:r>
      <w:r>
        <w:t>))</w:t>
      </w:r>
      <w:r>
        <w:rPr/>
        <w:t xml:space="preserve"> the </w:t>
      </w:r>
      <w:r>
        <w:rPr>
          <w:u w:val="single"/>
        </w:rPr>
        <w:t xml:space="preserve">date of certification of the</w:t>
      </w:r>
      <w:r>
        <w:rPr/>
        <w:t xml:space="preserve"> general election, the legislator may not mail, either by regular mail or </w:t>
      </w:r>
      <w:r>
        <w:t>((</w:t>
      </w:r>
      <w:r>
        <w:rPr>
          <w:strike/>
        </w:rPr>
        <w:t xml:space="preserve">electronic mail</w:t>
      </w:r>
      <w:r>
        <w:t>))</w:t>
      </w:r>
      <w:r>
        <w:rPr>
          <w:u w:val="single"/>
        </w:rPr>
        <w:t xml:space="preserve">email</w:t>
      </w:r>
      <w:r>
        <w:rPr/>
        <w:t xml:space="preserve">, to a constituent at public expense a letter, newsletter, brochure, or other piece of literature, except </w:t>
      </w:r>
      <w:r>
        <w:rPr>
          <w:u w:val="single"/>
        </w:rPr>
        <w:t xml:space="preserve">for routine legislative correspondence, such as scheduling, and</w:t>
      </w:r>
      <w:r>
        <w:rPr/>
        <w:t xml:space="preserve"> as follows:</w:t>
      </w:r>
    </w:p>
    <w:p>
      <w:pPr>
        <w:spacing w:before="0" w:after="0" w:line="408" w:lineRule="exact"/>
        <w:ind w:left="0" w:right="0" w:firstLine="576"/>
        <w:jc w:val="left"/>
      </w:pPr>
      <w:r>
        <w:rPr/>
        <w:t xml:space="preserve">(a) The legislator may mail two mailings of newsletters to constituents. All newsletters within each mailing of newsletters must be identical as to their content but not as to the constituent name or address. </w:t>
      </w:r>
      <w:r>
        <w:t>((</w:t>
      </w:r>
      <w:r>
        <w:rPr>
          <w:strike/>
        </w:rPr>
        <w:t xml:space="preserve">One such mailing may be mailed no later than thirty days after the start of a regular legislative session, except that a legislator appointed during a regular legislative session to fill a vacant seat may have up to thirty days from the date of appointment to send out the first mailing. The other</w:t>
      </w:r>
      <w:r>
        <w:t>))</w:t>
      </w:r>
      <w:r>
        <w:rPr>
          <w:u w:val="single"/>
        </w:rPr>
        <w:t xml:space="preserve">Both</w:t>
      </w:r>
      <w:r>
        <w:rPr/>
        <w:t xml:space="preserve"> mailing</w:t>
      </w:r>
      <w:r>
        <w:rPr>
          <w:u w:val="single"/>
        </w:rPr>
        <w:t xml:space="preserve">s</w:t>
      </w:r>
      <w:r>
        <w:t>((</w:t>
      </w:r>
      <w:r>
        <w:rPr>
          <w:strike/>
        </w:rPr>
        <w:t xml:space="preserve">may</w:t>
      </w:r>
      <w:r>
        <w:t>))</w:t>
      </w:r>
      <w:r>
        <w:rPr>
          <w:u w:val="single"/>
        </w:rPr>
        <w:t xml:space="preserve">must</w:t>
      </w:r>
      <w:r>
        <w:rPr/>
        <w:t xml:space="preserve"> be mailed </w:t>
      </w:r>
      <w:r>
        <w:t>((</w:t>
      </w:r>
      <w:r>
        <w:rPr>
          <w:strike/>
        </w:rPr>
        <w:t xml:space="preserve">no later than sixty days after the end of a regular legislative session</w:t>
      </w:r>
      <w:r>
        <w:t>))</w:t>
      </w:r>
      <w:r>
        <w:rPr>
          <w:u w:val="single"/>
        </w:rPr>
        <w:t xml:space="preserve">before the first day of the declaration of candidacy filing period specified in RCW 29A.24.050</w:t>
      </w:r>
      <w:r>
        <w:rPr/>
        <w:t xml:space="preserve">.</w:t>
      </w:r>
    </w:p>
    <w:p>
      <w:pPr>
        <w:spacing w:before="0" w:after="0" w:line="408" w:lineRule="exact"/>
        <w:ind w:left="0" w:right="0" w:firstLine="576"/>
        <w:jc w:val="left"/>
      </w:pPr>
      <w:r>
        <w:rPr/>
        <w:t xml:space="preserve">(b) The legislator may mail an individual letter to (i) an individual constituent who has contacted the legislator regarding the subject matter of the letter during the legislator's current term of office; (ii) an individual constituent who holds a governmental office with jurisdiction over the subject matter of the letter; or (iii) an individual constituent who has received an award or honor of extraordinary distinction of a type that is sufficiently infrequent to be noteworthy to a reasonable person, including, but not limited to: (A) An international or national award such as the Nobel prize or the Pulitzer prize; (B) a state award such as Washington scholar; (C) an Eagle Scout award; and (D) a Medal of Honor.</w:t>
      </w:r>
    </w:p>
    <w:p>
      <w:pPr>
        <w:spacing w:before="0" w:after="0" w:line="408" w:lineRule="exact"/>
        <w:ind w:left="0" w:right="0" w:firstLine="576"/>
        <w:jc w:val="left"/>
      </w:pPr>
      <w:r>
        <w:rPr/>
        <w:t xml:space="preserve">(c) In those cases where constituents have specifically indicated that they would like to be contacted to receive regular or periodic updates on legislative matters </w:t>
      </w:r>
      <w:r>
        <w:rPr>
          <w:u w:val="single"/>
        </w:rPr>
        <w:t xml:space="preserve">or been added to a distribution list and provided regular opportunities to unsubscribe from that mailing list</w:t>
      </w:r>
      <w:r>
        <w:rPr/>
        <w:t xml:space="preserve">, legislators may provide such updates by </w:t>
      </w:r>
      <w:r>
        <w:t>((</w:t>
      </w:r>
      <w:r>
        <w:rPr>
          <w:strike/>
        </w:rPr>
        <w:t xml:space="preserve">electronic mail</w:t>
      </w:r>
      <w:r>
        <w:t>))</w:t>
      </w:r>
      <w:r>
        <w:rPr>
          <w:u w:val="single"/>
        </w:rPr>
        <w:t xml:space="preserve">email</w:t>
      </w:r>
      <w:r>
        <w:rPr/>
        <w:t xml:space="preserve"> throughout the legislative session and up until </w:t>
      </w:r>
      <w:r>
        <w:t>((</w:t>
      </w:r>
      <w:r>
        <w:rPr>
          <w:strike/>
        </w:rPr>
        <w:t xml:space="preserve">thirty days from the conclusion of a legislative session</w:t>
      </w:r>
      <w:r>
        <w:t>))</w:t>
      </w:r>
      <w:r>
        <w:rPr>
          <w:u w:val="single"/>
        </w:rPr>
        <w:t xml:space="preserve">the first day of the declaration of candidacy filing period specified in RCW 29A.24.050. Legislators may also provide these updates by email during any special legislative session</w:t>
      </w:r>
      <w:r>
        <w:rPr/>
        <w:t xml:space="preserve">.</w:t>
      </w:r>
    </w:p>
    <w:p>
      <w:pPr>
        <w:spacing w:before="0" w:after="0" w:line="408" w:lineRule="exact"/>
        <w:ind w:left="0" w:right="0" w:firstLine="576"/>
        <w:jc w:val="left"/>
      </w:pPr>
      <w:r>
        <w:rPr/>
        <w:t xml:space="preserve">(2) </w:t>
      </w:r>
      <w:r>
        <w:t>((</w:t>
      </w:r>
      <w:r>
        <w:rPr>
          <w:strike/>
        </w:rPr>
        <w:t xml:space="preserve">For purposes of subsection (1) of this section, "legislator" means a legislator who is a "candidate," as defined by RCW 42.17A.005, for any public office.</w:t>
      </w:r>
    </w:p>
    <w:p>
      <w:pPr>
        <w:spacing w:before="0" w:after="0" w:line="408" w:lineRule="exact"/>
        <w:ind w:left="0" w:right="0" w:firstLine="576"/>
        <w:jc w:val="left"/>
      </w:pPr>
      <w:r>
        <w:rPr>
          <w:strike/>
        </w:rPr>
        <w:t xml:space="preserve">(3)</w:t>
      </w:r>
      <w:r>
        <w:t>))</w:t>
      </w:r>
      <w:r>
        <w:rPr/>
        <w:t xml:space="preserve"> A violation of this section constitutes use of the facilities of a public office for the purpose of assisting a campaign under RCW 42.52.180.</w:t>
      </w:r>
    </w:p>
    <w:p>
      <w:pPr>
        <w:spacing w:before="0" w:after="0" w:line="408" w:lineRule="exact"/>
        <w:ind w:left="0" w:right="0" w:firstLine="576"/>
        <w:jc w:val="left"/>
      </w:pPr>
      <w:r>
        <w:t>((</w:t>
      </w:r>
      <w:r>
        <w:rPr>
          <w:strike/>
        </w:rPr>
        <w:t xml:space="preserve">(4)</w:t>
      </w:r>
      <w:r>
        <w:t>))</w:t>
      </w:r>
      <w:r>
        <w:rPr>
          <w:u w:val="single"/>
        </w:rPr>
        <w:t xml:space="preserve">(3)</w:t>
      </w:r>
      <w:r>
        <w:rPr/>
        <w:t xml:space="preserve"> The house of representatives and senate shall specifically limit expenditures per member for the total cost of mailings. Those costs include, but are not limited to, production costs, printing costs, and postage costs. The limits imposed under this subsection apply only to the total expenditures on mailings per member and not to any categorical cost within the total.</w:t>
      </w:r>
    </w:p>
    <w:p>
      <w:pPr>
        <w:spacing w:before="0" w:after="0" w:line="408" w:lineRule="exact"/>
        <w:ind w:left="0" w:right="0" w:firstLine="576"/>
        <w:jc w:val="left"/>
      </w:pPr>
      <w:r>
        <w:t>((</w:t>
      </w:r>
      <w:r>
        <w:rPr>
          <w:strike/>
        </w:rPr>
        <w:t xml:space="preserve">(5)</w:t>
      </w:r>
      <w:r>
        <w:t>))</w:t>
      </w:r>
      <w:r>
        <w:rPr>
          <w:u w:val="single"/>
        </w:rPr>
        <w:t xml:space="preserve">(4)</w:t>
      </w:r>
      <w:r>
        <w:rPr/>
        <w:t xml:space="preserve"> For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"Legislator" means a legislator who is a "candidate," as defined in RCW 42.17A.005, for any public office; and</w:t>
      </w:r>
    </w:p>
    <w:p>
      <w:pPr>
        <w:spacing w:before="0" w:after="0" w:line="408" w:lineRule="exact"/>
        <w:ind w:left="0" w:right="0" w:firstLine="576"/>
        <w:jc w:val="left"/>
      </w:pPr>
      <w:r>
        <w:rPr>
          <w:u w:val="single"/>
        </w:rPr>
        <w:t xml:space="preserve">(b) P</w:t>
      </w:r>
      <w:r>
        <w:rPr/>
        <w:t xml:space="preserve">ersons residing outside the legislative district represented by the legislator are not considered to be constituents, but students, military personnel, or others temporarily employed outside of the district who normally reside in the district are considered to be constituents.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7ce498dd8ac942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2106.PL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fbfb00210e4de1" /><Relationship Type="http://schemas.openxmlformats.org/officeDocument/2006/relationships/footer" Target="/word/footer.xml" Id="R7ce498dd8ac942d6" /></Relationships>
</file>