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7a09d4e1374c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2243</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July 1, 2017</w:t>
            </w:r>
          </w:p>
          <w:p>
            <w:pPr>
              <w:ind w:left="0" w:right="0" w:firstLine="360"/>
            </w:pPr>
            <w:r>
              <w:t xml:space="preserve">Yeas </w:t>
              <w:t xml:space="preserve">78</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2243</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Representatives McCaslin and Barkis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extension of public facilities and utilities to serve a school sited in a rural area that serves students from a rural area and an urban area so long as the following requirements are met:</w:t>
      </w:r>
    </w:p>
    <w:p>
      <w:pPr>
        <w:spacing w:before="0" w:after="0" w:line="408" w:lineRule="exact"/>
        <w:ind w:left="0" w:right="0" w:firstLine="576"/>
        <w:jc w:val="left"/>
      </w:pPr>
      <w:r>
        <w:rPr/>
        <w:t xml:space="preserve">(a) The applicable school district board of directors has adopted a policy addressing school service area and facility needs and educational program requirements;</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 has determined cannot reasonably be collocated on an existing school site, taking into consideration the policy adopted in (a) of this subsection and the extent to which vacant or developable land within the growth area meets those requirements;</w:t>
      </w:r>
    </w:p>
    <w:p>
      <w:pPr>
        <w:spacing w:before="0" w:after="0" w:line="408" w:lineRule="exact"/>
        <w:ind w:left="0" w:right="0" w:firstLine="576"/>
        <w:jc w:val="left"/>
      </w:pPr>
      <w:r>
        <w:rPr/>
        <w:t xml:space="preserve">(c) The county and any affected cities agree to the extension of public facilities and utilities to serve the school sited in a rural area that serves urban and rural students at the time of concurrence in (b) of this subsection;</w:t>
      </w:r>
    </w:p>
    <w:p>
      <w:pPr>
        <w:spacing w:before="0" w:after="0" w:line="408" w:lineRule="exact"/>
        <w:ind w:left="0" w:right="0" w:firstLine="576"/>
        <w:jc w:val="left"/>
      </w:pPr>
      <w:r>
        <w:rPr/>
        <w:t xml:space="preserve">(d) If the public facility or utility is extended beyond the urban growth area to serve a school, the public facility or utility must serve only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(e)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or modernization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the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utility.</w:t>
      </w:r>
    </w:p>
    <w:p>
      <w:pPr>
        <w:spacing w:before="0" w:after="0" w:line="408" w:lineRule="exact"/>
        <w:ind w:left="0" w:right="0" w:firstLine="576"/>
        <w:jc w:val="left"/>
      </w:pPr>
      <w:r>
        <w:rPr/>
        <w:t xml:space="preserve">(4) By December 1, 2023, the department shall report to the governor and the appropriate committees of the legislature about schools outside of urban growth areas that have been built, are under construction, or are planned as a result of the requirements of this act. The report shall include the number, location, and characteristics of the schools; the number of urban and rural students served; and a cost analysis of schools built outside of urban growth boundaries.</w:t>
      </w:r>
    </w:p>
    <w:p/>
    <w:p>
      <w:pPr>
        <w:jc w:val="center"/>
      </w:pPr>
      <w:r>
        <w:rPr>
          <w:b/>
        </w:rPr>
        <w:t>--- END ---</w:t>
      </w:r>
    </w:p>
    <w:sectPr>
      <w:pgNumType w:start="1"/>
      <w:footerReference xmlns:r="http://schemas.openxmlformats.org/officeDocument/2006/relationships" r:id="R3eecf0a06f694e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f26705e3e4cd3" /><Relationship Type="http://schemas.openxmlformats.org/officeDocument/2006/relationships/footer" Target="/word/footer.xml" Id="R3eecf0a06f694e02" /></Relationships>
</file>