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a11f0d9154c63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2261</w:t>
      </w:r>
    </w:p>
    <w:p>
      <w:pPr>
        <w:jc w:val="center"/>
        <w:spacing w:before="720" w:after="0" w:line="240"/>
      </w:pPr>
      <w:r>
        <w:t>65th Legislature</w:t>
      </w:r>
    </w:p>
    <w:p>
      <w:pPr>
        <w:jc w:val="center"/>
        <w:spacing w:before="0" w:after="1440" w:line="240"/>
      </w:pPr>
      <w:r>
        <w:t>2018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1,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91</w:t>
            </w:r>
            <w:r>
              <w:t xml:space="preserve">  Nays </w:t>
              <w:t xml:space="preserve">3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2,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47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2261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2261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2018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Representatives MacEwen, Santos, Young, and Griffey</w:t>
      </w:r>
    </w:p>
    <w:p/>
    <w:p>
      <w:r>
        <w:rPr>
          <w:t xml:space="preserve">Prefiled 12/05/17.</w:t>
        </w:rPr>
      </w:r>
      <w:r>
        <w:rPr>
          <w:t xml:space="preserve">Read first time 01/08/18.  </w:t>
        </w:rPr>
      </w:r>
      <w:r>
        <w:rPr>
          <w:t xml:space="preserve">Referred to Committee on Community Development, Housing &amp; Tribal Affairs.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housing authorities; and adding a new section to chapter 35.83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35</w:t>
      </w:r>
      <w:r>
        <w:rPr/>
        <w:t xml:space="preserve">.</w:t>
      </w:r>
      <w:r>
        <w:t xml:space="preserve">83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For the purpose of aiding the board of commissioners of a housing authority in carrying out the board's duties or powers under any applicable law, any state public body may, with or without consideration, provide monetary, in-kind, or other support to the board of commissioners of a housing authority. Such support may not be for the purpose of compensation for a commissioner for his or her services rendered to the housing authority.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8ec6dd12078430b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2261.PL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5e67840bd84e92" /><Relationship Type="http://schemas.openxmlformats.org/officeDocument/2006/relationships/footer" Target="/word/footer.xml" Id="Rc8ec6dd12078430b" /></Relationships>
</file>