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2ceba78d143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2298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2018</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2298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Environment (originally sponsored by Representatives Haler, Fitzgibbon, Dolan, Fey, Hudgins, McBride, Stanford, and Ormsby; by request of Department of Ecology)</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wastewater operator certifications; and amending RCW 70.95B.090 and 70.95B.095.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1987 c 357 s 6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and has met the requirements specified in the rules and regulations as authorized by this chapter, and has paid the department an application fee </w:t>
      </w:r>
      <w:r>
        <w:rPr>
          <w:u w:val="single"/>
        </w:rPr>
        <w:t xml:space="preserve">as established by the department under RCW 70.95B.095</w:t>
      </w:r>
      <w:r>
        <w:rPr/>
        <w:t xml:space="preserve">. </w:t>
      </w:r>
      <w:r>
        <w:t>((</w:t>
      </w:r>
      <w:r>
        <w:rPr>
          <w:strike/>
        </w:rPr>
        <w:t xml:space="preserve">Such application fee shall not exceed fifty dollars.</w:t>
      </w:r>
      <w:r>
        <w:t>))</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w:t>
      </w:r>
      <w:r>
        <w:rPr>
          <w:u w:val="single"/>
        </w:rPr>
        <w:t xml:space="preserve">as established by the department under RCW 70.95B.095</w:t>
      </w:r>
      <w:r>
        <w:rPr/>
        <w:t xml:space="preserve"> and satisfactory evidence presented to the director that the operator demonstrates continued professional growth in the field. </w:t>
      </w:r>
      <w:r>
        <w:t>((</w:t>
      </w:r>
      <w:r>
        <w:rPr>
          <w:strike/>
        </w:rPr>
        <w:t xml:space="preserve">Such renewal fee shall not exceed thirty dollars.</w:t>
      </w:r>
      <w:r>
        <w:t>))</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1987 c 357 s 9 are each amended to read as follows:</w:t>
      </w:r>
    </w:p>
    <w:p>
      <w:pPr>
        <w:spacing w:before="0" w:after="0" w:line="408" w:lineRule="exact"/>
        <w:ind w:left="0" w:right="0" w:firstLine="576"/>
        <w:jc w:val="left"/>
      </w:pPr>
      <w:r>
        <w:t>((</w:t>
      </w:r>
      <w:r>
        <w:rPr>
          <w:strike/>
        </w:rPr>
        <w:t xml:space="preserve">Effective January 1, 1988,</w:t>
      </w:r>
      <w:r>
        <w:t>))</w:t>
      </w:r>
      <w:r>
        <w:rPr/>
        <w:t xml:space="preserve"> </w:t>
      </w:r>
      <w:r>
        <w:rPr>
          <w:u w:val="single"/>
        </w:rPr>
        <w:t xml:space="preserve">(1) T</w:t>
      </w:r>
      <w:r>
        <w:rPr/>
        <w:t xml:space="preserve">he department shall establish </w:t>
      </w:r>
      <w:r>
        <w:t>((</w:t>
      </w:r>
      <w:r>
        <w:rPr>
          <w:strike/>
        </w:rPr>
        <w:t xml:space="preserve">rules for the collection of</w:t>
      </w:r>
      <w:r>
        <w:t>))</w:t>
      </w:r>
      <w:r>
        <w:rPr/>
        <w:t xml:space="preserve"> </w:t>
      </w:r>
      <w:r>
        <w:rPr>
          <w:u w:val="single"/>
        </w:rPr>
        <w:t xml:space="preserve">and collect</w:t>
      </w:r>
      <w:r>
        <w:rPr/>
        <w:t xml:space="preserve"> fees for the issuance and renewal of </w:t>
      </w:r>
      <w:r>
        <w:rPr>
          <w:u w:val="single"/>
        </w:rPr>
        <w:t xml:space="preserve">wastewater treatment plant operator</w:t>
      </w:r>
      <w:r>
        <w:rPr/>
        <w:t xml:space="preserve"> certificates as provided for in RCW 70.95B.090. </w:t>
      </w:r>
      <w:r>
        <w:t>((</w:t>
      </w:r>
      <w:r>
        <w:rPr>
          <w:strike/>
        </w:rPr>
        <w:t xml:space="preserve">Beginning January 1, 1992, these fees shall be sufficient to recover the costs of the</w:t>
      </w:r>
      <w:r>
        <w:t>))</w:t>
      </w:r>
      <w:r>
        <w:rPr/>
        <w:t xml:space="preserve"> </w:t>
      </w:r>
      <w:r>
        <w:rPr>
          <w:u w:val="single"/>
        </w:rPr>
        <w:t xml:space="preserve">The department, with the advice of an advisory committee, shall establish an initial fee schedule by rule. 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w:t>
      </w:r>
      <w:r>
        <w:rPr/>
        <w:t xml:space="preserve"> certification program.</w:t>
      </w:r>
    </w:p>
    <w:p>
      <w:pPr>
        <w:spacing w:before="0" w:after="0" w:line="408" w:lineRule="exact"/>
        <w:ind w:left="0" w:right="0" w:firstLine="576"/>
        <w:jc w:val="left"/>
      </w:pPr>
      <w:r>
        <w:rPr>
          <w:u w:val="single"/>
        </w:rPr>
        <w:t xml:space="preserve">(2) Once the initial fee schedule is adopted by rule, the department shall conduct a workload analysis and prepare a biennial budget estimate for the wastewater treatment plant operator certification program. Thereafter, the department shall assess and collect fees from all wastewater treatment plant operators at a level that fully recovers the costs identified in its biennial operating budget.</w:t>
      </w:r>
    </w:p>
    <w:p>
      <w:pPr>
        <w:spacing w:before="0" w:after="0" w:line="408" w:lineRule="exact"/>
        <w:ind w:left="0" w:right="0" w:firstLine="576"/>
        <w:jc w:val="left"/>
      </w:pPr>
      <w:r>
        <w:rPr>
          <w:u w:val="single"/>
        </w:rPr>
        <w:t xml:space="preserve">(3) If fee increases above the state's fiscal growth factor are proposed, due to an expansion of the wastewater operator certification program, the department must submit a report to the legislature describing the need for the increase.</w:t>
      </w:r>
    </w:p>
    <w:p/>
    <w:p>
      <w:pPr>
        <w:jc w:val="center"/>
      </w:pPr>
      <w:r>
        <w:rPr>
          <w:b/>
        </w:rPr>
        <w:t>--- END ---</w:t>
      </w:r>
    </w:p>
    <w:sectPr>
      <w:pgNumType w:start="1"/>
      <w:footerReference xmlns:r="http://schemas.openxmlformats.org/officeDocument/2006/relationships" r:id="R2761349a9d614d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53d1bc11ca4479" /><Relationship Type="http://schemas.openxmlformats.org/officeDocument/2006/relationships/footer" Target="/word/footer.xml" Id="R2761349a9d614dcd" /></Relationships>
</file>