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15cf6079c44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2322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Stanford, Kirby, Vick, Barkis, McDonald, and Ryu; by request of Insurance Commissioner)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new sections to chapter 48.18 RCW; adding a new section to chapter 48.19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property insurers to assist their insureds with risk mitigation and/or prevention goods and/or services could help prevent, or reduce the severity of claims and losses. The legislature further finds that property insurers engage in supporting insureds through disaster or emergency response activities when there is an imminent threat of damage to insured property, such as wildfire prevention defense efforts that provide fire retardants to homes in a wildfire area or send crews to combat wildfires to protect insureds' homes. The legislature further finds that assisting insureds with risk mitigation and prevention and providing disaster or emergency response activities are both useful in preventing economic loss, and should be exempt from the prohibition against inducements under RCW 48.30.140 and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 except commercial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five hundred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 except commercial property insurance,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 except commercial property insurance,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section 3 of this act.</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 except commercial property insurance, that includes risk mitigation and/or prevention goods and/or services under section 2 of this act,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section 2(6) of this act; or</w:t>
      </w:r>
    </w:p>
    <w:p>
      <w:pPr>
        <w:spacing w:before="0" w:after="0" w:line="408" w:lineRule="exact"/>
        <w:ind w:left="0" w:right="0" w:firstLine="576"/>
        <w:jc w:val="left"/>
      </w:pPr>
      <w:r>
        <w:rPr/>
        <w:t xml:space="preserve">(b)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Rules increasing the value of either the goods or services, or both, permitted under section 2(1) of this act;</w:t>
      </w:r>
    </w:p>
    <w:p>
      <w:pPr>
        <w:spacing w:before="0" w:after="0" w:line="408" w:lineRule="exact"/>
        <w:ind w:left="0" w:right="0" w:firstLine="576"/>
        <w:jc w:val="left"/>
      </w:pPr>
      <w:r>
        <w:rPr/>
        <w:t xml:space="preserve">(3) Rules establishing requirements for pilot programs authorized under section 2(6) of this act; and</w:t>
      </w:r>
    </w:p>
    <w:p>
      <w:pPr>
        <w:spacing w:before="0" w:after="0" w:line="408" w:lineRule="exact"/>
        <w:ind w:left="0" w:right="0" w:firstLine="576"/>
        <w:jc w:val="left"/>
      </w:pPr>
      <w:r>
        <w:rPr/>
        <w:t xml:space="preserve">(4) Rules identifying which insurer disaster or emergency response activities are exempt from sections 2 and 3 of this act and RCW 48.30.140 and 48.30.150.</w:t>
      </w:r>
    </w:p>
    <w:p/>
    <w:p>
      <w:pPr>
        <w:jc w:val="center"/>
      </w:pPr>
      <w:r>
        <w:rPr>
          <w:b/>
        </w:rPr>
        <w:t>--- END ---</w:t>
      </w:r>
    </w:p>
    <w:sectPr>
      <w:pgNumType w:start="1"/>
      <w:footerReference xmlns:r="http://schemas.openxmlformats.org/officeDocument/2006/relationships" r:id="R60301fb9acb147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dd12485fb04b13" /><Relationship Type="http://schemas.openxmlformats.org/officeDocument/2006/relationships/footer" Target="/word/footer.xml" Id="R60301fb9acb14785" /></Relationships>
</file>