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e8629dac04a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2408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Jinkins, Goodman, Johnson, Slatter, Tharinger, Stanford, Macri, Ormsby, Doglio, and Appleton)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access to individual market health care coverage throughout Washington state; amending RCW 48.41.200 and 48.41.090; adding a new section to chapter 41.05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health care is fundamental to the health and safety of the citizens of Washington state;</w:t>
      </w:r>
    </w:p>
    <w:p>
      <w:pPr>
        <w:spacing w:before="0" w:after="0" w:line="408" w:lineRule="exact"/>
        <w:ind w:left="0" w:right="0" w:firstLine="576"/>
        <w:jc w:val="left"/>
      </w:pPr>
      <w:r>
        <w:rPr/>
        <w:t xml:space="preserve">(b) Health insurance coverage is necessary for most people to access health care;</w:t>
      </w:r>
    </w:p>
    <w:p>
      <w:pPr>
        <w:spacing w:before="0" w:after="0" w:line="408" w:lineRule="exact"/>
        <w:ind w:left="0" w:right="0" w:firstLine="576"/>
        <w:jc w:val="left"/>
      </w:pPr>
      <w:r>
        <w:rPr/>
        <w:t xml:space="preserve">(c) Due to uncertainty in the health insurance marketplace, volatility in the current federal regulatory environment, and rising health care costs, ensuring access to the private health insurance market in every county in Washington state is becoming more difficult;</w:t>
      </w:r>
    </w:p>
    <w:p>
      <w:pPr>
        <w:spacing w:before="0" w:after="0" w:line="408" w:lineRule="exact"/>
        <w:ind w:left="0" w:right="0" w:firstLine="576"/>
        <w:jc w:val="left"/>
      </w:pPr>
      <w:r>
        <w:rPr/>
        <w:t xml:space="preserve">(d) The consequences of losing private health insurance coverage in a county would be catastrophic, leading to deteriorating health outcomes, lost productivity, and lower quality of life; and</w:t>
      </w:r>
    </w:p>
    <w:p>
      <w:pPr>
        <w:spacing w:before="0" w:after="0" w:line="408" w:lineRule="exact"/>
        <w:ind w:left="0" w:right="0" w:firstLine="576"/>
        <w:jc w:val="left"/>
      </w:pPr>
      <w:r>
        <w:rPr/>
        <w:t xml:space="preserve">(e) If the private market fails to provide coverage in a county, the state must intervene.</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Leverage the provider networks used by private insurers offering coverage to state and school employees to ensure private insurance coverage is available in all counties where those insurers offer coverage to state and school employees; and</w:t>
      </w:r>
    </w:p>
    <w:p>
      <w:pPr>
        <w:spacing w:before="0" w:after="0" w:line="408" w:lineRule="exact"/>
        <w:ind w:left="0" w:right="0" w:firstLine="576"/>
        <w:jc w:val="left"/>
      </w:pPr>
      <w:r>
        <w:rPr/>
        <w:t xml:space="preserve">(b) Until such coverage is available, make coverage in the Washington state health insurance pool more affordable to persons residing in counties where no private insurance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the effective date of this section, by the school employees' benefits board or the public employees' benefits board to be offered to employees and their covered dependents under this chapter.</w:t>
      </w:r>
    </w:p>
    <w:p>
      <w:pPr>
        <w:spacing w:before="0" w:after="0" w:line="408" w:lineRule="exact"/>
        <w:ind w:left="0" w:right="0" w:firstLine="576"/>
        <w:jc w:val="left"/>
      </w:pPr>
      <w:r>
        <w:rPr/>
        <w:t xml:space="preserve">(2) The rates for a health plan approved by the school employees' benefits board or the public employees' benefits board may not include the administrative costs or actuarial risks associated with a qualified health plan offered under subsection (1) of this section.</w:t>
      </w:r>
    </w:p>
    <w:p>
      <w:pPr>
        <w:spacing w:before="0" w:after="0" w:line="408" w:lineRule="exact"/>
        <w:ind w:left="0" w:right="0" w:firstLine="576"/>
        <w:jc w:val="left"/>
      </w:pPr>
      <w:r>
        <w:rPr/>
        <w:t xml:space="preserve">(3) The authority shall perform an actuarial review during the annual rate setting process for plans approved by the school employees' benefits board or the public employees' benefits board to ensure compliance with subsection (2) of this section.</w:t>
      </w:r>
    </w:p>
    <w:p>
      <w:pPr>
        <w:spacing w:before="0" w:after="0" w:line="408" w:lineRule="exact"/>
        <w:ind w:left="0" w:right="0" w:firstLine="576"/>
        <w:jc w:val="left"/>
      </w:pPr>
      <w:r>
        <w:rPr/>
        <w:t xml:space="preserve">(4) For purposes of this section, "exchange" and "health carrier" have the same meaning as in RCW 48.43.005.</w:t>
      </w:r>
    </w:p>
    <w:p>
      <w:pPr>
        <w:spacing w:before="0" w:after="0" w:line="408" w:lineRule="exact"/>
        <w:ind w:left="0" w:right="0" w:firstLine="576"/>
        <w:jc w:val="left"/>
      </w:pPr>
      <w:r>
        <w:rPr/>
        <w:t xml:space="preserve">(5) For purposes of this section, "insurance holding company system" has the same meaning as in RCW 48.31B.005.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200</w:t>
      </w:r>
      <w:r>
        <w:rPr/>
        <w:t xml:space="preserve"> and 2007 c 259 s 28 are each amended to read as follows:</w:t>
      </w:r>
    </w:p>
    <w:p>
      <w:pPr>
        <w:spacing w:before="0" w:after="0" w:line="408" w:lineRule="exact"/>
        <w:ind w:left="0" w:right="0" w:firstLine="576"/>
        <w:jc w:val="left"/>
      </w:pPr>
      <w:r>
        <w:rPr/>
        <w:t xml:space="preserve">(1) The pool shall determine the standard risk rate by calculating the average individual standard rate charged for coverage comparable to pool coverage by the five largest members, measured in terms of individual market enrollment, offering such coverages in the state. In the event five members do not offer comparable coverage, the standard risk rate shall be established using reasonable actuarial techniques and shall reflect anticipated experience and expenses for such coverage in the individual market.</w:t>
      </w:r>
    </w:p>
    <w:p>
      <w:pPr>
        <w:spacing w:before="0" w:after="0" w:line="408" w:lineRule="exact"/>
        <w:ind w:left="0" w:right="0" w:firstLine="576"/>
        <w:jc w:val="left"/>
      </w:pPr>
      <w:r>
        <w:rPr/>
        <w:t xml:space="preserve">(2) Subject to subsection (3) of this section, maximum rates for pool coverage shall be as follows:</w:t>
      </w:r>
    </w:p>
    <w:p>
      <w:pPr>
        <w:spacing w:before="0" w:after="0" w:line="408" w:lineRule="exact"/>
        <w:ind w:left="0" w:right="0" w:firstLine="576"/>
        <w:jc w:val="left"/>
      </w:pPr>
      <w:r>
        <w:rPr/>
        <w:t xml:space="preserve">(a) Maximum rates for a pool indemnity health plan shall be one hundred fifty percent of the rate calculated under subsection (1) of this section;</w:t>
      </w:r>
    </w:p>
    <w:p>
      <w:pPr>
        <w:spacing w:before="0" w:after="0" w:line="408" w:lineRule="exact"/>
        <w:ind w:left="0" w:right="0" w:firstLine="576"/>
        <w:jc w:val="left"/>
      </w:pPr>
      <w:r>
        <w:rPr/>
        <w:t xml:space="preserve">(b) Maximum rates for a pool care management plan shall be one hundred twenty-five percent of the rate calculated under subsection (1) of this section; and</w:t>
      </w:r>
    </w:p>
    <w:p>
      <w:pPr>
        <w:spacing w:before="0" w:after="0" w:line="408" w:lineRule="exact"/>
        <w:ind w:left="0" w:right="0" w:firstLine="576"/>
        <w:jc w:val="left"/>
      </w:pPr>
      <w:r>
        <w:rPr/>
        <w:t xml:space="preserve">(c) Maximum rates for a person eligible for pool coverage pursuant to RCW 48.41.100(1)(a) who was enrolled at any time during the sixty-three day period immediately prior to the date of application for pool coverage in a group health benefit plan or an individual health benefit plan other than a catastrophic health plan as defined in RCW 48.43.005, where such coverage was continuous for at least eighteen months, shall be:</w:t>
      </w:r>
    </w:p>
    <w:p>
      <w:pPr>
        <w:spacing w:before="0" w:after="0" w:line="408" w:lineRule="exact"/>
        <w:ind w:left="0" w:right="0" w:firstLine="576"/>
        <w:jc w:val="left"/>
      </w:pPr>
      <w:r>
        <w:rPr/>
        <w:t xml:space="preserve">(i) For a pool indemnity health plan, one hundred twenty-five percent of the rate calculated under subsection (1) of this section; and</w:t>
      </w:r>
    </w:p>
    <w:p>
      <w:pPr>
        <w:spacing w:before="0" w:after="0" w:line="408" w:lineRule="exact"/>
        <w:ind w:left="0" w:right="0" w:firstLine="576"/>
        <w:jc w:val="left"/>
      </w:pPr>
      <w:r>
        <w:rPr/>
        <w:t xml:space="preserve">(ii) For a pool care management plan, one hundred ten percent of the rate calculated under subsection (1) of this section.</w:t>
      </w:r>
    </w:p>
    <w:p>
      <w:pPr>
        <w:spacing w:before="0" w:after="0" w:line="408" w:lineRule="exact"/>
        <w:ind w:left="0" w:right="0" w:firstLine="576"/>
        <w:jc w:val="left"/>
      </w:pPr>
      <w:r>
        <w:rPr/>
        <w:t xml:space="preserve">(3)(a) Subject to (b) and (c) of this subsection:</w:t>
      </w:r>
    </w:p>
    <w:p>
      <w:pPr>
        <w:spacing w:before="0" w:after="0" w:line="408" w:lineRule="exact"/>
        <w:ind w:left="0" w:right="0" w:firstLine="576"/>
        <w:jc w:val="left"/>
      </w:pPr>
      <w:r>
        <w:rPr/>
        <w:t xml:space="preserve">(i) The rate for any person</w:t>
      </w:r>
      <w:r>
        <w:rPr>
          <w:u w:val="single"/>
        </w:rPr>
        <w:t xml:space="preserve">, other than a person eligible for a rate reduction under subsection (4) of this section,</w:t>
      </w:r>
      <w:r>
        <w:rPr/>
        <w:t xml:space="preserve"> whose current gross family income is less than two hundred fifty-one percent of the federal poverty level shall be reduced by thirty percent from what it would otherwise be;</w:t>
      </w:r>
    </w:p>
    <w:p>
      <w:pPr>
        <w:spacing w:before="0" w:after="0" w:line="408" w:lineRule="exact"/>
        <w:ind w:left="0" w:right="0" w:firstLine="576"/>
        <w:jc w:val="left"/>
      </w:pPr>
      <w:r>
        <w:rPr/>
        <w:t xml:space="preserve">(ii) The rate for any person</w:t>
      </w:r>
      <w:r>
        <w:rPr>
          <w:u w:val="single"/>
        </w:rPr>
        <w:t xml:space="preserve">, other than a person eligible for a rate reduction under subsection (4) of this section,</w:t>
      </w:r>
      <w:r>
        <w:rPr/>
        <w:t xml:space="preserve"> whose current gross family income is more than two hundred fifty but less than three hundred one percent of the federal poverty level shall be reduced by fifteen percent from what it would otherwise be;</w:t>
      </w:r>
    </w:p>
    <w:p>
      <w:pPr>
        <w:spacing w:before="0" w:after="0" w:line="408" w:lineRule="exact"/>
        <w:ind w:left="0" w:right="0" w:firstLine="576"/>
        <w:jc w:val="left"/>
      </w:pPr>
      <w:r>
        <w:rPr/>
        <w:t xml:space="preserve">(iii) The rate for any person who has been enrolled in the pool for more than thirty-six months shall be reduced by five percent from what it would otherwise be.</w:t>
      </w:r>
    </w:p>
    <w:p>
      <w:pPr>
        <w:spacing w:before="0" w:after="0" w:line="408" w:lineRule="exact"/>
        <w:ind w:left="0" w:right="0" w:firstLine="576"/>
        <w:jc w:val="left"/>
      </w:pPr>
      <w:r>
        <w:rPr/>
        <w:t xml:space="preserve">(b) In no event shall the rate for any person be less than one hundred ten percent of the rate calculated under subsection (1) of this section.</w:t>
      </w:r>
    </w:p>
    <w:p>
      <w:pPr>
        <w:spacing w:before="0" w:after="0" w:line="408" w:lineRule="exact"/>
        <w:ind w:left="0" w:right="0" w:firstLine="576"/>
        <w:jc w:val="left"/>
      </w:pPr>
      <w:r>
        <w:rPr/>
        <w:t xml:space="preserve">(c) Rate reductions under (a)(i) and (ii) of this subsection shall be available only to the extent that funds are specifically appropriated for this purpose in the omnibus appropriations act.</w:t>
      </w:r>
    </w:p>
    <w:p>
      <w:pPr>
        <w:spacing w:before="0" w:after="0" w:line="408" w:lineRule="exact"/>
        <w:ind w:left="0" w:right="0" w:firstLine="576"/>
        <w:jc w:val="left"/>
      </w:pPr>
      <w:r>
        <w:rPr>
          <w:u w:val="single"/>
        </w:rPr>
        <w:t xml:space="preserve">(4) The rate for any person eligible for pool coverage under RCW 48.41.100(1)(a)(i) shall be reduced as follows:</w:t>
      </w:r>
    </w:p>
    <w:p>
      <w:pPr>
        <w:spacing w:before="0" w:after="0" w:line="408" w:lineRule="exact"/>
        <w:ind w:left="0" w:right="0" w:firstLine="576"/>
        <w:jc w:val="left"/>
      </w:pPr>
      <w:r>
        <w:rPr>
          <w:u w:val="single"/>
        </w:rPr>
        <w:t xml:space="preserve">(a) The rate for a person whose current modified adjusted gross income is less than or equal to two hundred percent of the federal poverty level must be reduced by eighty percent from what it otherwise would be;</w:t>
      </w:r>
    </w:p>
    <w:p>
      <w:pPr>
        <w:spacing w:before="0" w:after="0" w:line="408" w:lineRule="exact"/>
        <w:ind w:left="0" w:right="0" w:firstLine="576"/>
        <w:jc w:val="left"/>
      </w:pPr>
      <w:r>
        <w:rPr>
          <w:u w:val="single"/>
        </w:rPr>
        <w:t xml:space="preserve">(b) The rate for a person whose current modified adjusted gross income is more than two hundred percent, but less than or equal to three hundred percent of the federal poverty level must be reduced by sixty percent from what it otherwise would be;</w:t>
      </w:r>
    </w:p>
    <w:p>
      <w:pPr>
        <w:spacing w:before="0" w:after="0" w:line="408" w:lineRule="exact"/>
        <w:ind w:left="0" w:right="0" w:firstLine="576"/>
        <w:jc w:val="left"/>
      </w:pPr>
      <w:r>
        <w:rPr>
          <w:u w:val="single"/>
        </w:rPr>
        <w:t xml:space="preserve">(c) The rate for a person whose current modified adjusted gross income is more than three hundred percent, but less than or equal to four hundred percent of the federal poverty level must be reduced by fifty percent from what it otherwise would be; and</w:t>
      </w:r>
    </w:p>
    <w:p>
      <w:pPr>
        <w:spacing w:before="0" w:after="0" w:line="408" w:lineRule="exact"/>
        <w:ind w:left="0" w:right="0" w:firstLine="576"/>
        <w:jc w:val="left"/>
      </w:pPr>
      <w:r>
        <w:rPr>
          <w:u w:val="single"/>
        </w:rPr>
        <w:t xml:space="preserve">(d) The rate for a person whose current modified adjusted gross income is more than four hundred percent of the federal poverty level must be reduced by thirty percent from what it otherwise would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w:t>
      </w:r>
      <w:r>
        <w:t>((</w:t>
      </w:r>
      <w:r>
        <w:rPr>
          <w:strike/>
        </w:rPr>
        <w:t xml:space="preserve">and</w:t>
      </w:r>
      <w:r>
        <w:t>))</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r>
        <w:rPr>
          <w:u w:val="single"/>
        </w:rPr>
        <w:t xml:space="preserve">; and</w:t>
      </w:r>
    </w:p>
    <w:p>
      <w:pPr>
        <w:spacing w:before="0" w:after="0" w:line="408" w:lineRule="exact"/>
        <w:ind w:left="0" w:right="0" w:firstLine="576"/>
        <w:jc w:val="left"/>
      </w:pPr>
      <w:r>
        <w:rPr>
          <w:u w:val="single"/>
        </w:rPr>
        <w:t xml:space="preserve">(c) Any rate reductions received by individuals under RCW 48.41.200(4)</w:t>
      </w:r>
      <w:r>
        <w:rPr/>
        <w:t xml:space="preserve">.</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t xml:space="preserve">(iii) Health plans serving medical care services program clients under RCW 74.09.035 are exempted from the calculation; and</w:t>
      </w:r>
    </w:p>
    <w:p>
      <w:pPr>
        <w:spacing w:before="0" w:after="0" w:line="408" w:lineRule="exact"/>
        <w:ind w:left="0" w:right="0" w:firstLine="576"/>
        <w:jc w:val="left"/>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expire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b0bae00844c47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1ce9d22fe45b6" /><Relationship Type="http://schemas.openxmlformats.org/officeDocument/2006/relationships/footer" Target="/word/footer.xml" Id="R7b0bae00844c47de" /></Relationships>
</file>