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4d8e92fb245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2651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2651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Stanford, Johnson, Macri, Haler, Tharinger, Goodman, Caldier, Appleton, Harris, Jinkins, Barkis, Dolan, Senn, Gregerson, Wylie, Tarleton, McBride, Doglio, Eslick, Pollet, Slatter, Fey,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people in residential and institutional care settings; and amending RCW 74.09.340.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340</w:t>
      </w:r>
      <w:r>
        <w:rPr/>
        <w:t xml:space="preserve"> and 2017 c 270 s 2 are each amended to read as follows:</w:t>
      </w:r>
    </w:p>
    <w:p>
      <w:pPr>
        <w:spacing w:before="0" w:after="0" w:line="408" w:lineRule="exact"/>
        <w:ind w:left="0" w:right="0" w:firstLine="576"/>
        <w:jc w:val="left"/>
      </w:pPr>
      <w:r>
        <w:t>((</w:t>
      </w:r>
      <w:r>
        <w:rPr>
          <w:strike/>
        </w:rPr>
        <w:t xml:space="preserve">Effective July 1, 2017</w:t>
      </w:r>
      <w:r>
        <w:t>))</w:t>
      </w:r>
      <w:r>
        <w:rPr/>
        <w:t xml:space="preserve"> </w:t>
      </w:r>
      <w:r>
        <w:rPr>
          <w:u w:val="single"/>
        </w:rPr>
        <w:t xml:space="preserve">(1) Except as provided in RCW 72.36.160, beginning January 1, 2019, the personal needs allowance for clients being served in medical institutions and in residential settings is seventy dollars.</w:t>
      </w:r>
    </w:p>
    <w:p>
      <w:pPr>
        <w:spacing w:before="0" w:after="0" w:line="408" w:lineRule="exact"/>
        <w:ind w:left="0" w:right="0" w:firstLine="576"/>
        <w:jc w:val="left"/>
      </w:pPr>
      <w:r>
        <w:rPr>
          <w:u w:val="single"/>
        </w:rPr>
        <w:t xml:space="preserve">(2) Beginning January 1, 2020</w:t>
      </w:r>
      <w:r>
        <w:rPr/>
        <w:t xml:space="preserve">, and each </w:t>
      </w:r>
      <w:r>
        <w:t>((</w:t>
      </w:r>
      <w:r>
        <w:rPr>
          <w:strike/>
        </w:rPr>
        <w:t xml:space="preserve">fiscal</w:t>
      </w:r>
      <w:r>
        <w:t>))</w:t>
      </w:r>
      <w:r>
        <w:rPr/>
        <w:t xml:space="preserve">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
      <w:pPr>
        <w:jc w:val="center"/>
      </w:pPr>
      <w:r>
        <w:rPr>
          <w:b/>
        </w:rPr>
        <w:t>--- END ---</w:t>
      </w:r>
    </w:p>
    <w:sectPr>
      <w:pgNumType w:start="1"/>
      <w:footerReference xmlns:r="http://schemas.openxmlformats.org/officeDocument/2006/relationships" r:id="Rd5d47aef9fb743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bccc23a884c1c" /><Relationship Type="http://schemas.openxmlformats.org/officeDocument/2006/relationships/footer" Target="/word/footer.xml" Id="Rd5d47aef9fb743e1" /></Relationships>
</file>