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df9f5449e44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2957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2957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2957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Lytton, Peterson, Robinson, Wilcox, Taylor, Stambaugh, Sawyer, Chapman, Pollet, and Stanford</w:t>
      </w:r>
    </w:p>
    <w:p/>
    <w:p>
      <w:r>
        <w:rPr>
          <w:t xml:space="preserve">Read first time 01/30/18.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escape of nonnative finfish from marine finfish aquaculture facilities; amending RCW 77.115.010, 77.115.030, 77.115.040, 77.125.030, 77.12.047, and 50.04.075; adding a new section to chapter 79.105 RCW; adding new sections to chapter 77.125 RCW; adding a new section to chapter 90.48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Recent developments have thrown into stark relief the threat that nonnative marine finfish aquaculture may pose to Washington's native salmon populations. But just as evidence has emerged that nonnative marine finfish aquaculture may endanger Washington's native salmon populations, so too has evidence emerged that marine finfish aquaculture in general may pose unacceptable risks not only to Washington's native salmon populations but also to the broader health of Washington's marine environment. Given this evidence, the legislature intends to phase out nonnative finfish aquaculture in Washington's marine waters. Because the state of the science and engineering with regard to marine finfish aquaculture may be evolving, the legislature further intends to study this issue in greater depth, and to revisit the issue of marine finfish aquaculture once additional research becomes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department may not allow nonnative marine finfish aquaculture as an authorized use under any new lease or other use authorization.</w:t>
      </w:r>
    </w:p>
    <w:p>
      <w:pPr>
        <w:spacing w:before="0" w:after="0" w:line="408" w:lineRule="exact"/>
        <w:ind w:left="0" w:right="0" w:firstLine="576"/>
        <w:jc w:val="left"/>
      </w:pPr>
      <w:r>
        <w:rPr/>
        <w:t xml:space="preserve">(2) The department may not renew or extend a lease or other use authorization in existence on the effective date of this section where the use includes nonnative marine finfish aquaculture.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authorize or permit activities associated with the use of marine net pens for nonnative marine finfish aquaculture only if these activities are performed under a lease of state-owned aquatic lands in effect on the effective date of this section. The department may not authorize or permit any of these activities or operations after the expiration date of the relevant lease of state-owned aquatic lands in effect on the effective date of this section. </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issue national pollutant discharge elimination system permits associated with nonnative marine finfish aquaculture only if these activities are performed under a lease of state-owned aquatic lands in effect on the effective date of this section. The department may not issue national pollutant discharge elimination system permits in connection with any of these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(2) For purposes of this section, "state-owned aquatic lands" has the same meaning as defined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agriculture, and fish and wildlife, as well as the department of natural resources, shall continue the existing effort to update guidance and informational resources to industry and governments for planning and permitting commercial marine net pen aquaculture. As part of this effort, the departments shall seek advice and technical assistance from the Northwest Indian fisheries commission, and the national centers for coastal ocean science, and shall invite consultation and participation from the University of Washington school of aquatic and fishery sciences, Western Washington University, Washington State University, Northwest Indian College, and additional authorities, as appropriate, including federally recognized Indian tribes. The guidance must be designed to eliminate commercial marine net pen escapement and to eliminate negative impacts to water quality and native fish, shellfish, and wildlife. At a minimum, the guidance must address the following topics:</w:t>
      </w:r>
    </w:p>
    <w:p>
      <w:pPr>
        <w:spacing w:before="0" w:after="0" w:line="408" w:lineRule="exact"/>
        <w:ind w:left="0" w:right="0" w:firstLine="576"/>
        <w:jc w:val="left"/>
      </w:pPr>
      <w:r>
        <w:rPr/>
        <w:t xml:space="preserve">(a) Local shoreline permitting;</w:t>
      </w:r>
    </w:p>
    <w:p>
      <w:pPr>
        <w:spacing w:before="0" w:after="0" w:line="408" w:lineRule="exact"/>
        <w:ind w:left="0" w:right="0" w:firstLine="576"/>
        <w:jc w:val="left"/>
      </w:pPr>
      <w:r>
        <w:rPr/>
        <w:t xml:space="preserve">(b) Water quality;</w:t>
      </w:r>
    </w:p>
    <w:p>
      <w:pPr>
        <w:spacing w:before="0" w:after="0" w:line="408" w:lineRule="exact"/>
        <w:ind w:left="0" w:right="0" w:firstLine="576"/>
        <w:jc w:val="left"/>
      </w:pPr>
      <w:r>
        <w:rPr/>
        <w:t xml:space="preserve">(c) The state of the science concerning marine finfish aquaculture impacts on native fish, shellfish, and wildlife;</w:t>
      </w:r>
    </w:p>
    <w:p>
      <w:pPr>
        <w:spacing w:before="0" w:after="0" w:line="408" w:lineRule="exact"/>
        <w:ind w:left="0" w:right="0" w:firstLine="576"/>
        <w:jc w:val="left"/>
      </w:pPr>
      <w:r>
        <w:rPr/>
        <w:t xml:space="preserve">(d) Best management practices for the safe and effective operation of finfish aquaculture in the marine environment;</w:t>
      </w:r>
    </w:p>
    <w:p>
      <w:pPr>
        <w:spacing w:before="0" w:after="0" w:line="408" w:lineRule="exact"/>
        <w:ind w:left="0" w:right="0" w:firstLine="576"/>
        <w:jc w:val="left"/>
      </w:pPr>
      <w:r>
        <w:rPr/>
        <w:t xml:space="preserve">(e) Interagency coordination in permitting, inspections, and enforcement; and</w:t>
      </w:r>
    </w:p>
    <w:p>
      <w:pPr>
        <w:spacing w:before="0" w:after="0" w:line="408" w:lineRule="exact"/>
        <w:ind w:left="0" w:right="0" w:firstLine="576"/>
        <w:jc w:val="left"/>
      </w:pPr>
      <w:r>
        <w:rPr/>
        <w:t xml:space="preserve">(f) Recommendations for future legislative oversight of marine finfish net pen aquaculture.</w:t>
      </w:r>
    </w:p>
    <w:p>
      <w:pPr>
        <w:spacing w:before="0" w:after="0" w:line="408" w:lineRule="exact"/>
        <w:ind w:left="0" w:right="0" w:firstLine="576"/>
        <w:jc w:val="left"/>
      </w:pPr>
      <w:r>
        <w:rPr/>
        <w:t xml:space="preserve">(2) The departments must report to the legislature, consistent with RCW 43.01.036, by November 1, 2019.</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3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For marine finfish aquaculture,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finfish, the director may require the operator to remove fish or deny a fish transfer permit.</w:t>
      </w:r>
    </w:p>
    <w:p/>
    <w:p>
      <w:pPr>
        <w:jc w:val="center"/>
      </w:pPr>
      <w:r>
        <w:rPr>
          <w:b/>
        </w:rPr>
        <w:t>--- END ---</w:t>
      </w:r>
    </w:p>
    <w:sectPr>
      <w:pgNumType w:start="1"/>
      <w:footerReference xmlns:r="http://schemas.openxmlformats.org/officeDocument/2006/relationships" r:id="Rad9fef9c39f84d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ef53bf40e4a9a" /><Relationship Type="http://schemas.openxmlformats.org/officeDocument/2006/relationships/footer" Target="/word/footer.xml" Id="Rad9fef9c39f84dbd" /></Relationships>
</file>