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900752a9d4435" /></Relationships>
</file>

<file path=word/document.xml><?xml version="1.0" encoding="utf-8"?>
<w:document xmlns:w="http://schemas.openxmlformats.org/wordprocessingml/2006/main">
  <w:body>
    <w:p>
      <w:pPr>
        <w:jc w:val="left"/>
      </w:pPr>
      <w:r>
        <w:rPr>
          <w:u w:val="single"/>
        </w:rPr>
        <w:t>HOUSE RESOLUTION NO. 2018-4673</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seventy-sixth anniversary of the signing of Executive Order 9066; to recognize and remember Japanese-American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the Military Intelligence Service-Northwest Association, Densho, the Japanese-American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4673 adopted by the House of Representatives</w:t>
      </w:r>
    </w:p>
    <w:p>
      <w:pPr>
        <w:spacing w:before="0" w:after="0" w:line="240" w:lineRule="exact"/>
        <w:ind w:left="0" w:right="0" w:firstLine="576"/>
        <w:jc w:val="center"/>
      </w:pPr>
      <w:r>
        <w:rPr/>
        <w:t xml:space="preserve">February 19,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2cb217ab54c18" /></Relationships>
</file>