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3aa677b1e4872" /></Relationships>
</file>

<file path=word/document.xml><?xml version="1.0" encoding="utf-8"?>
<w:document xmlns:w="http://schemas.openxmlformats.org/wordprocessingml/2006/main">
  <w:body>
    <w:p>
      <w:r>
        <w:t>S-0266.1</w:t>
      </w:r>
    </w:p>
    <w:p>
      <w:pPr>
        <w:jc w:val="center"/>
      </w:pPr>
      <w:r>
        <w:t>_______________________________________________</w:t>
      </w:r>
    </w:p>
    <w:p/>
    <w:p>
      <w:pPr>
        <w:jc w:val="center"/>
      </w:pPr>
      <w:r>
        <w:rPr>
          <w:b/>
        </w:rPr>
        <w:t>SENATE BILL 5037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Frockt, O'Ban, Darneille, Miloscia, Kuderer, Zeiger, Carlyle, Pearson, Conway, Rolfes, Palumbo, Angel, and Wellman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and 46.61.5054; reenacting and amending RCW 46.61.5055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2016 c 87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w:t>
      </w:r>
      <w:r>
        <w:t>((</w:t>
      </w:r>
      <w:r>
        <w:rPr>
          <w:strike/>
        </w:rPr>
        <w:t xml:space="preserve">or three</w:t>
      </w:r>
      <w:r>
        <w:t>))</w:t>
      </w:r>
      <w:r>
        <w:rPr/>
        <w:t xml:space="preserv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
      <w:pPr>
        <w:jc w:val="center"/>
      </w:pPr>
      <w:r>
        <w:rPr>
          <w:b/>
        </w:rPr>
        <w:t>--- END ---</w:t>
      </w:r>
    </w:p>
    <w:sectPr>
      <w:pgNumType w:start="1"/>
      <w:footerReference xmlns:r="http://schemas.openxmlformats.org/officeDocument/2006/relationships" r:id="R53052b7509cd4a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8cce353c804901" /><Relationship Type="http://schemas.openxmlformats.org/officeDocument/2006/relationships/footer" Target="/word/footer.xml" Id="R53052b7509cd4ab5" /></Relationships>
</file>