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461eee644a416b" /></Relationships>
</file>

<file path=word/document.xml><?xml version="1.0" encoding="utf-8"?>
<w:document xmlns:w="http://schemas.openxmlformats.org/wordprocessingml/2006/main">
  <w:body>
    <w:p>
      <w:r>
        <w:t>S-1493.2</w:t>
      </w:r>
    </w:p>
    <w:p>
      <w:pPr>
        <w:jc w:val="center"/>
      </w:pPr>
      <w:r>
        <w:t>_______________________________________________</w:t>
      </w:r>
    </w:p>
    <w:p/>
    <w:p>
      <w:pPr>
        <w:jc w:val="center"/>
      </w:pPr>
      <w:r>
        <w:rPr>
          <w:b/>
        </w:rPr>
        <w:t>SUBSTITUTE SENATE BILL 5046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Senators Hasegawa, Chase, Darneille, and Rolfes)</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notices of public health, safety, and welfare in a language other than English; amending RCW 38.52.070; adding a new section to chapter 1.20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a matter of human dignity, all persons are to be informed of emergency notifications in a manner in which they can understand. It is the intent of the legislature that all persons who may be in harm's way in an emergency are informed of their peril, and informed of appropriate actions they should take to protect themselves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State agencies required by law or rule to provide public notices to a community or area to advise or inform the public about an imminent or emergent public health, safety, or welfare risk shall provide notices in a manner which has been determined to be most effective in communicating with significant segments of their diverse communities who speak a language other than English. This requirement applies to notices that include, but are not limited to, proposed locations for criminal facilities or facilities that would house sex offenders. This requirement does not apply to the adoption of rules under chapter 34.05 RCW. Under a state of emergency, state agencies shall provide such notices, information, and services in a manner determined to be most effective at communicating with significant segments of the community in the affected area who speak a language other than English.</w:t>
      </w:r>
    </w:p>
    <w:p>
      <w:pPr>
        <w:spacing w:before="0" w:after="0" w:line="408" w:lineRule="exact"/>
        <w:ind w:left="0" w:right="0" w:firstLine="576"/>
        <w:jc w:val="left"/>
      </w:pPr>
      <w:r>
        <w:rPr/>
        <w:t xml:space="preserve">(2) When issuing notices during emergencies including, but not limited to, evacuation notices and shelter information, political subdivisions or their emergency management contractors must share that information in a manner determined to be most effective for communicating with significant segments of the community who speak a language other than English. </w:t>
      </w:r>
    </w:p>
    <w:p>
      <w:pPr>
        <w:spacing w:before="0" w:after="0" w:line="408" w:lineRule="exact"/>
        <w:ind w:left="0" w:right="0" w:firstLine="576"/>
        <w:jc w:val="left"/>
      </w:pPr>
      <w:r>
        <w:rPr/>
        <w:t xml:space="preserve">(3) "Significant segment," for purposes of this section, means five percent or more of residents, or one thousand residents, whichever is fewer, residing in the affected city, town, or county who are of limited English proficiency.</w:t>
      </w:r>
    </w:p>
    <w:p>
      <w:pPr>
        <w:spacing w:before="0" w:after="0" w:line="408" w:lineRule="exact"/>
        <w:ind w:left="0" w:right="0" w:firstLine="576"/>
        <w:jc w:val="left"/>
      </w:pPr>
      <w:r>
        <w:rPr/>
        <w:t xml:space="preserve">(4) Agencies shall implement the provisions of this section within existing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w:t>
      </w:r>
      <w:r>
        <w:rPr>
          <w:u w:val="single"/>
        </w:rPr>
        <w:t xml:space="preserve">Each political subdivision shall maintain or have access to updated demographic data for their jurisdictions and information on the languages represented by their respective communities, and shall grant access to such information to those authorized to issue emergency notices on their behalf.</w:t>
      </w:r>
    </w:p>
    <w:p>
      <w:pPr>
        <w:spacing w:before="0" w:after="0" w:line="408" w:lineRule="exact"/>
        <w:ind w:left="0" w:right="0" w:firstLine="576"/>
        <w:jc w:val="left"/>
      </w:pPr>
      <w:r>
        <w:rPr>
          <w:u w:val="single"/>
        </w:rPr>
        <w:t xml:space="preserve">(3)</w:t>
      </w:r>
      <w:r>
        <w:rPr/>
        <w:t xml:space="preserve">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w:t>
      </w:r>
      <w:r>
        <w:rPr>
          <w:u w:val="single"/>
        </w:rPr>
        <w:t xml:space="preserve">and communication</w:t>
      </w:r>
      <w:r>
        <w:rPr/>
        <w:t xml:space="preserve"> to the victims of such disaster </w:t>
      </w:r>
      <w:r>
        <w:rPr>
          <w:u w:val="single"/>
        </w:rPr>
        <w:t xml:space="preserve">using methods most likely to reach significant segments of the population, and in a manner determined to be most effective at conveying emergency information</w:t>
      </w:r>
      <w:r>
        <w:rPr/>
        <w:t xml:space="preserve">.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
      <w:pPr>
        <w:jc w:val="center"/>
      </w:pPr>
      <w:r>
        <w:rPr>
          <w:b/>
        </w:rPr>
        <w:t>--- END ---</w:t>
      </w:r>
    </w:p>
    <w:sectPr>
      <w:pgNumType w:start="1"/>
      <w:footerReference xmlns:r="http://schemas.openxmlformats.org/officeDocument/2006/relationships" r:id="Rc0e9abcd653f4e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159c89e4cf4a74" /><Relationship Type="http://schemas.openxmlformats.org/officeDocument/2006/relationships/footer" Target="/word/footer.xml" Id="Rc0e9abcd653f4e9d" /></Relationships>
</file>