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f4521b9dda4385" /></Relationships>
</file>

<file path=word/document.xml><?xml version="1.0" encoding="utf-8"?>
<w:document xmlns:w="http://schemas.openxmlformats.org/wordprocessingml/2006/main">
  <w:body>
    <w:p>
      <w:r>
        <w:t>S-0484.1</w:t>
      </w:r>
    </w:p>
    <w:p>
      <w:pPr>
        <w:jc w:val="center"/>
      </w:pPr>
      <w:r>
        <w:t>_______________________________________________</w:t>
      </w:r>
    </w:p>
    <w:p/>
    <w:p>
      <w:pPr>
        <w:jc w:val="center"/>
      </w:pPr>
      <w:r>
        <w:rPr>
          <w:b/>
        </w:rPr>
        <w:t>SENATE BILL 5102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and Palumbo</w:t>
      </w:r>
    </w:p>
    <w:p/>
    <w:p>
      <w:r>
        <w:rPr>
          <w:t xml:space="preserve">Read first time 01/12/17.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residency requirements for licensed marijuana businesses;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w:t>
      </w:r>
      <w:r>
        <w:rPr>
          <w:u w:val="single"/>
        </w:rPr>
        <w:t xml:space="preserve">, with the exception that only those holding fifty percent of all ownership interests must meet the residency requirement</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the residency requirement</w:t>
      </w:r>
      <w:r>
        <w:rPr/>
        <w:t xml:space="preserv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w:t>
      </w:r>
      <w:r>
        <w:t>((</w:t>
      </w:r>
      <w:r>
        <w:rPr>
          <w:strike/>
        </w:rPr>
        <w:t xml:space="preserve">Subject to section 1601 of this act,</w:t>
      </w:r>
      <w:r>
        <w:t>))</w:t>
      </w:r>
      <w:r>
        <w:rPr/>
        <w:t xml:space="preserve"> </w:t>
      </w:r>
      <w:r>
        <w:rPr>
          <w:u w:val="single"/>
        </w:rPr>
        <w:t xml:space="preserve">A</w:t>
      </w:r>
      <w:r>
        <w:rPr/>
        <w:t xml:space="preserve">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3e88f12fd9244d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6f22cf81c9450f" /><Relationship Type="http://schemas.openxmlformats.org/officeDocument/2006/relationships/footer" Target="/word/footer.xml" Id="R3e88f12fd9244db8" /></Relationships>
</file>