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1ec50115841ed" /></Relationships>
</file>

<file path=word/document.xml><?xml version="1.0" encoding="utf-8"?>
<w:document xmlns:w="http://schemas.openxmlformats.org/wordprocessingml/2006/main">
  <w:body>
    <w:p>
      <w:r>
        <w:t>S-0788.1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5154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Senate Transportation (originally sponsored by Senators Fain, Hobbs, Liias, Zeiger, Billig, Wilson, and Kuderer)</w:t>
      </w:r>
    </w:p>
    <w:p/>
    <w:p>
      <w:r>
        <w:rPr>
          <w:t xml:space="preserve">READ FIRST TIME 02/02/17.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driver's license formats for persons approaching twenty-one years of age; amending RCW 46.20.105;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105</w:t>
      </w:r>
      <w:r>
        <w:rPr/>
        <w:t xml:space="preserve"> and 2000 c 115 s 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</w:t>
      </w:r>
      <w:r>
        <w:rPr>
          <w:u w:val="single"/>
        </w:rPr>
        <w:t xml:space="preserve">(a)</w:t>
      </w:r>
      <w:r>
        <w:rPr/>
        <w:t xml:space="preserve"> The department may provide a method to distinguish the driver's license of a person who is under the age of twenty-one from the driver's license of a person who is twenty-one years of age or older.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department must allow for a person who applies to renew his or her driver's license within one week of his or her twenty-first birthday to convert the driver's license to the format of a driver's license for a person who is twenty-one years of age or older.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instruction permit must be identified as an "instruction permit" and issued in a distinctive form as determined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 intermediate license must be identified as an "intermediate license" and issued in a distinctive form as determined by the department.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July 1, 2018.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2ff0565a96f427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5154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893b70e154298" /><Relationship Type="http://schemas.openxmlformats.org/officeDocument/2006/relationships/footer" Target="/word/footer.xml" Id="Re2ff0565a96f427b" /></Relationships>
</file>