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7f78da47e4f7b" /></Relationships>
</file>

<file path=word/document.xml><?xml version="1.0" encoding="utf-8"?>
<w:document xmlns:w="http://schemas.openxmlformats.org/wordprocessingml/2006/main">
  <w:body>
    <w:p>
      <w:r>
        <w:t>S-0139.1</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Wilson, and Takko</w:t>
      </w:r>
    </w:p>
    <w:p/>
    <w:p>
      <w:r>
        <w:rPr>
          <w:t xml:space="preserve">Read first time 01/16/17.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licenses;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A spirits, beer, and wine theater license may be issued </w:t>
      </w:r>
      <w:r>
        <w:t>((</w:t>
      </w:r>
      <w:r>
        <w:rPr>
          <w:strike/>
        </w:rPr>
        <w:t xml:space="preserve">only</w:t>
      </w:r>
      <w:r>
        <w:t>))</w:t>
      </w:r>
      <w:r>
        <w:rPr/>
        <w:t xml:space="preserve"> to theaters </w:t>
      </w:r>
      <w:r>
        <w:t>((</w:t>
      </w:r>
      <w:r>
        <w:rPr>
          <w:strike/>
        </w:rPr>
        <w:t xml:space="preserve">that have no more than one hundred twenty seats per screen and</w:t>
      </w:r>
      <w:r>
        <w:t>))</w:t>
      </w:r>
      <w:r>
        <w:rPr/>
        <w:t xml:space="preserve"> that are maintained in a substantial manner as a place for preparing, cooking, and serving complete meals </w:t>
      </w:r>
      <w:r>
        <w:t>((</w:t>
      </w:r>
      <w:r>
        <w:rPr>
          <w:strike/>
        </w:rPr>
        <w:t xml:space="preserve">and providing tabletop accommodations for in-theater dining</w:t>
      </w:r>
      <w:r>
        <w:t>))</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265d1f9e20a644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f279c8ac5040d0" /><Relationship Type="http://schemas.openxmlformats.org/officeDocument/2006/relationships/footer" Target="/word/footer.xml" Id="R265d1f9e20a64437" /></Relationships>
</file>