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f8ef2e64a74ef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5180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Bailey, Walsh, Darneille, Keiser, Palumbo, and Conway)</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legislative advisory committee on aging;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2019, the legislative advisory committee on aging is established, with members as provided in this subsection.</w:t>
      </w:r>
    </w:p>
    <w:p>
      <w:pPr>
        <w:spacing w:before="0" w:after="0" w:line="408" w:lineRule="exact"/>
        <w:ind w:left="0" w:right="0" w:firstLine="576"/>
        <w:jc w:val="left"/>
      </w:pPr>
      <w:r>
        <w:rPr/>
        <w:t xml:space="preserve">(i) In consultation with the majority and minority leaders, the president of the senate shall appoint two members from each of the two largest caucuses of the senate.</w:t>
      </w:r>
    </w:p>
    <w:p>
      <w:pPr>
        <w:spacing w:before="0" w:after="0" w:line="408" w:lineRule="exact"/>
        <w:ind w:left="0" w:right="0" w:firstLine="576"/>
        <w:jc w:val="left"/>
      </w:pPr>
      <w:r>
        <w:rPr/>
        <w:t xml:space="preserve">(ii) In consultation with the majority and minority leaders,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department of social and health services and the health care authority shall cooperate with the committee and maintain liaison representatives, who are nonvoting members.</w:t>
      </w:r>
    </w:p>
    <w:p>
      <w:pPr>
        <w:spacing w:before="0" w:after="0" w:line="408" w:lineRule="exact"/>
        <w:ind w:left="0" w:right="0" w:firstLine="576"/>
        <w:jc w:val="left"/>
      </w:pPr>
      <w:r>
        <w:rPr/>
        <w:t xml:space="preserve">(b) The committee shall choose its cochairs from among its legislative membership. The members representing the majority caucus of the senate shall convene the initial meeting of the committee.</w:t>
      </w:r>
    </w:p>
    <w:p>
      <w:pPr>
        <w:spacing w:before="0" w:after="0" w:line="408" w:lineRule="exact"/>
        <w:ind w:left="0" w:right="0" w:firstLine="576"/>
        <w:jc w:val="left"/>
      </w:pPr>
      <w:r>
        <w:rPr/>
        <w:t xml:space="preserve">(c) The committee, where appropriate, may consult with individuals from the public and private sector or ask the individuals to establish an advisory committee. Members of such an advisory committee are not entitled to expense reimbursement.</w:t>
      </w:r>
    </w:p>
    <w:p>
      <w:pPr>
        <w:spacing w:before="0" w:after="0" w:line="408" w:lineRule="exact"/>
        <w:ind w:left="0" w:right="0" w:firstLine="576"/>
        <w:jc w:val="left"/>
      </w:pPr>
      <w:r>
        <w:rPr/>
        <w:t xml:space="preserve">(2) The committee may review issues of importance to the state's aging community as well as issues of importance to individuals with disabilities in Washington. These may include housing issues, long-term care issues, health and wellness issues, malnutrition issues, transportation issues, financial issues, and other issues determined by the committee.</w:t>
      </w:r>
    </w:p>
    <w:p>
      <w:pPr>
        <w:spacing w:before="0" w:after="0" w:line="408" w:lineRule="exact"/>
        <w:ind w:left="0" w:right="0" w:firstLine="576"/>
        <w:jc w:val="left"/>
      </w:pPr>
      <w:r>
        <w:rPr/>
        <w:t xml:space="preserve">(3) Staff support for the committee shall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committee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committee shall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This section expires July 1, 2021.</w:t>
      </w:r>
    </w:p>
    <w:p/>
    <w:p>
      <w:pPr>
        <w:jc w:val="center"/>
      </w:pPr>
      <w:r>
        <w:rPr>
          <w:b/>
        </w:rPr>
        <w:t>--- END ---</w:t>
      </w:r>
    </w:p>
    <w:sectPr>
      <w:pgNumType w:start="1"/>
      <w:footerReference xmlns:r="http://schemas.openxmlformats.org/officeDocument/2006/relationships" r:id="Rb86c7b1fedad4e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8c9901d6a44f82" /><Relationship Type="http://schemas.openxmlformats.org/officeDocument/2006/relationships/footer" Target="/word/footer.xml" Id="Rb86c7b1fedad4e1f" /></Relationships>
</file>