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96052c6434f7f" /></Relationships>
</file>

<file path=word/document.xml><?xml version="1.0" encoding="utf-8"?>
<w:document xmlns:w="http://schemas.openxmlformats.org/wordprocessingml/2006/main">
  <w:body>
    <w:p>
      <w:r>
        <w:t>S-1814.1</w:t>
      </w:r>
    </w:p>
    <w:p>
      <w:pPr>
        <w:jc w:val="center"/>
      </w:pPr>
      <w:r>
        <w:t>_______________________________________________</w:t>
      </w:r>
    </w:p>
    <w:p/>
    <w:p>
      <w:pPr>
        <w:jc w:val="center"/>
      </w:pPr>
      <w:r>
        <w:rPr>
          <w:b/>
        </w:rPr>
        <w:t>SECOND SUBSTITUTE SENATE BILL 5201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O'Ban, Darneille, and Zeiger)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receiving both employment and community access services; amending RCW 71A.12.290;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recognizes the need for person-centered services that enable developmentally disabled clients to have greater access to their community, regardless of the degree of each client's disability or level of acuity. The state further recognizes that employment is highly effective for many and should be encouraged and offered at the outset for individuals age twenty-one and older. However, for others with significant barriers to employment that may or may not be overcome the state appreciates the need for community access services to be available instead of employment or as a complementary service to enhance employment discovery prospects, provide skill development, and provide community involvement and meaningful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w:t>
      </w:r>
      <w:r>
        <w:t>((</w:t>
      </w:r>
      <w:r>
        <w:rPr>
          <w:strike/>
        </w:rPr>
        <w:t xml:space="preserve">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strike/>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strike/>
        </w:rPr>
        <w:t xml:space="preserve">(3)</w:t>
      </w:r>
      <w:r>
        <w:t>))</w:t>
      </w:r>
      <w:r>
        <w:rPr/>
        <w:t xml:space="preserve"> </w:t>
      </w:r>
      <w:r>
        <w:rPr>
          <w:u w:val="single"/>
        </w:rPr>
        <w:t xml:space="preserve">Clients of the department age twenty-one and older must have the option to select employment services or community access services at the outset or at any point during the discovery process. The client must be able to opt in and out of either service at any time. Services shall be based on the client's person-centered plan and appropriate for the needs of the individual client. Services may include a variety of supports and providers that will enable individuals to have greater access to their community, regardless of the degree of each client's disability.</w:t>
      </w:r>
    </w:p>
    <w:p>
      <w:pPr>
        <w:spacing w:before="0" w:after="0" w:line="408" w:lineRule="exact"/>
        <w:ind w:left="0" w:right="0" w:firstLine="576"/>
        <w:jc w:val="left"/>
      </w:pPr>
      <w:r>
        <w:rPr>
          <w:u w:val="single"/>
        </w:rPr>
        <w:t xml:space="preserve">(2)</w:t>
      </w:r>
      <w:r>
        <w:rPr/>
        <w:t xml:space="preserve"> The department shall inform clients and their legal representatives of all available options for employment and </w:t>
      </w:r>
      <w:r>
        <w:t>((</w:t>
      </w:r>
      <w:r>
        <w:rPr>
          <w:strike/>
        </w:rPr>
        <w:t xml:space="preserve">day services, including the opportunity to request an exception from enrollment in an employment program</w:t>
      </w:r>
      <w:r>
        <w:t>))</w:t>
      </w:r>
      <w:r>
        <w:rPr/>
        <w:t xml:space="preserve"> </w:t>
      </w:r>
      <w:r>
        <w:rPr>
          <w:u w:val="single"/>
        </w:rPr>
        <w:t xml:space="preserve">community access at the outset of the discovery process</w:t>
      </w:r>
      <w:r>
        <w:rPr/>
        <w:t xml:space="preserve">.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department shall work with counties and stakeholders to strengthen and expand </w:t>
      </w:r>
      <w:r>
        <w:t>((</w:t>
      </w:r>
      <w:r>
        <w:rPr>
          <w:strike/>
        </w:rPr>
        <w:t xml:space="preserve">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strike/>
        </w:rPr>
        <w:t xml:space="preserve">(5) The department shall develop rules to allow for an exception to the requirement that a client participate in an employment program for nine months prior to transitioning to a community access program</w:t>
      </w:r>
      <w:r>
        <w:t>))</w:t>
      </w:r>
      <w:r>
        <w:rPr/>
        <w:t xml:space="preserve"> </w:t>
      </w:r>
      <w:r>
        <w:rPr>
          <w:u w:val="single"/>
        </w:rPr>
        <w:t xml:space="preserve">employment services and other community access services. Community access services should emphasize supports and activities that increase community involvement, maintain or improve skills and independence, and meet the diversity of person-centered needs.</w:t>
      </w:r>
    </w:p>
    <w:p>
      <w:pPr>
        <w:spacing w:before="0" w:after="0" w:line="408" w:lineRule="exact"/>
        <w:ind w:left="0" w:right="0" w:firstLine="576"/>
        <w:jc w:val="left"/>
      </w:pPr>
      <w:r>
        <w:rPr>
          <w:u w:val="single"/>
        </w:rPr>
        <w:t xml:space="preserve">(4) For the purposes of this section, "person-centered plan" means the individual support plan conducted and formulated for each client prior to receiving services. Clients must have the ability to revise their person-centered plan if it does not align with their individual needs</w:t>
      </w:r>
      <w:r>
        <w:rPr/>
        <w:t xml:space="preserve">.</w:t>
      </w:r>
    </w:p>
    <w:p/>
    <w:p>
      <w:pPr>
        <w:jc w:val="center"/>
      </w:pPr>
      <w:r>
        <w:rPr>
          <w:b/>
        </w:rPr>
        <w:t>--- END ---</w:t>
      </w:r>
    </w:p>
    <w:sectPr>
      <w:pgNumType w:start="1"/>
      <w:footerReference xmlns:r="http://schemas.openxmlformats.org/officeDocument/2006/relationships" r:id="Rf3c4150c3fe248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9d47bce13d4106" /><Relationship Type="http://schemas.openxmlformats.org/officeDocument/2006/relationships/footer" Target="/word/footer.xml" Id="Rf3c4150c3fe24861" /></Relationships>
</file>