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6215b23f94b81" /></Relationships>
</file>

<file path=word/document.xml><?xml version="1.0" encoding="utf-8"?>
<w:document xmlns:w="http://schemas.openxmlformats.org/wordprocessingml/2006/main">
  <w:body>
    <w:p>
      <w:r>
        <w:t>S-0388.2</w:t>
      </w:r>
    </w:p>
    <w:p>
      <w:pPr>
        <w:jc w:val="center"/>
      </w:pPr>
      <w:r>
        <w:t>_______________________________________________</w:t>
      </w:r>
    </w:p>
    <w:p/>
    <w:p>
      <w:pPr>
        <w:jc w:val="center"/>
      </w:pPr>
      <w:r>
        <w:rPr>
          <w:b/>
        </w:rPr>
        <w:t>SENATE BILL 5212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Angel, Honeyford, and Schoesler</w:t>
      </w:r>
    </w:p>
    <w:p/>
    <w:p>
      <w:r>
        <w:rPr>
          <w:t xml:space="preserve">Read first time 01/17/17.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land use control ordinances for purposes of vesting; and amending RCW 19.27.095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w:t>
      </w:r>
      <w:r>
        <w:rPr>
          <w:u w:val="single"/>
        </w:rPr>
        <w:t xml:space="preserve">, including land use control ordinances enacted for the purpose of complying with state law</w:t>
      </w:r>
      <w:r>
        <w:rPr/>
        <w:t xml:space="preserv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and zoning or other land use control ordinances, </w:t>
      </w:r>
      <w:r>
        <w:rPr>
          <w:u w:val="single"/>
        </w:rPr>
        <w:t xml:space="preserve">including land use control ordinances enacted for the purpose of complying with state law,</w:t>
      </w:r>
      <w:r>
        <w:rPr/>
        <w:t xml:space="preserve"> in effect on the land at the time a fully completed application for preliminary plat approval of the subdivision, or short plat approval of the short subdivision, has been submitted to the appropriate county, city, or town official.</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4dcd25ccc5ac4d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e9b8068204ae2" /><Relationship Type="http://schemas.openxmlformats.org/officeDocument/2006/relationships/footer" Target="/word/footer.xml" Id="R4dcd25ccc5ac4d67" /></Relationships>
</file>