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2984606f1744ee" /></Relationships>
</file>

<file path=word/document.xml><?xml version="1.0" encoding="utf-8"?>
<w:document xmlns:w="http://schemas.openxmlformats.org/wordprocessingml/2006/main">
  <w:body>
    <w:p>
      <w:r>
        <w:t>S-0113.1</w:t>
      </w:r>
    </w:p>
    <w:p>
      <w:pPr>
        <w:jc w:val="center"/>
      </w:pPr>
      <w:r>
        <w:t>_______________________________________________</w:t>
      </w:r>
    </w:p>
    <w:p/>
    <w:p>
      <w:pPr>
        <w:jc w:val="center"/>
      </w:pPr>
      <w:r>
        <w:rPr>
          <w:b/>
        </w:rPr>
        <w:t>SENATE BILL 5222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Baumgartner, Takko, O'Ban, Conway, Zeiger, Bailey, King, Chase, Wilson, Keiser, and Saldaña</w:t>
      </w:r>
    </w:p>
    <w:p/>
    <w:p>
      <w:r>
        <w:rPr>
          <w:t xml:space="preserve">Read first time 01/17/17.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prime contractors to bond the subcontractor's portion of retainage upon request; and amending RCW 60.28.011.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2015 c 280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an authorized surety insurer. The public body may require that the authorized surety have a minimum A.M. Best financial strength rating so long as that minimum rating does not exceed A-. The public body must comply with the provisions of RCW 48.28.010. </w:t>
      </w:r>
      <w:r>
        <w:t>((</w:t>
      </w:r>
      <w:r>
        <w:rPr>
          <w:strike/>
        </w:rPr>
        <w:t xml:space="preserve">This</w:t>
      </w:r>
      <w:r>
        <w:t>))</w:t>
      </w:r>
      <w:r>
        <w:rPr/>
        <w:t xml:space="preserve"> </w:t>
      </w:r>
      <w:r>
        <w:rPr>
          <w:u w:val="single"/>
        </w:rPr>
        <w:t xml:space="preserve">At any time prior to final formal acceptance of the project, a subcontractor may request the contractor to submit a bond to the public owner for that portion of the contractor's retainage pertaining to the subcontractor in a form acceptable to the public body and from a bonding company meeting standards established by the public body. Within thirty days of receipt of the request, the contractor shall provide and the public body shall accept a bond meeting these requirements unless the public body can demonstrate good cause for refusing to accept it or the subcontractor refuses to pay the subcontractor's portion of the bond premium and to provide the contractor with a like bond. The contractor's</w:t>
      </w:r>
      <w:r>
        <w:rPr/>
        <w:t xml:space="preserve">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
      <w:pPr>
        <w:jc w:val="center"/>
      </w:pPr>
      <w:r>
        <w:rPr>
          <w:b/>
        </w:rPr>
        <w:t>--- END ---</w:t>
      </w:r>
    </w:p>
    <w:sectPr>
      <w:pgNumType w:start="1"/>
      <w:footerReference xmlns:r="http://schemas.openxmlformats.org/officeDocument/2006/relationships" r:id="Ra4164f1d409744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21cad7a2ec4a58" /><Relationship Type="http://schemas.openxmlformats.org/officeDocument/2006/relationships/footer" Target="/word/footer.xml" Id="Ra4164f1d40974468" /></Relationships>
</file>