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5bc3f3b99c4cd5" /></Relationships>
</file>

<file path=word/document.xml><?xml version="1.0" encoding="utf-8"?>
<w:document xmlns:w="http://schemas.openxmlformats.org/wordprocessingml/2006/main">
  <w:body>
    <w:p>
      <w:r>
        <w:t>S-1323.3</w:t>
      </w:r>
    </w:p>
    <w:p>
      <w:pPr>
        <w:jc w:val="center"/>
      </w:pPr>
      <w:r>
        <w:t>_______________________________________________</w:t>
      </w:r>
    </w:p>
    <w:p/>
    <w:p>
      <w:pPr>
        <w:jc w:val="center"/>
      </w:pPr>
      <w:r>
        <w:rPr>
          <w:b/>
        </w:rPr>
        <w:t>SUBSTITUTE SENATE BILL 5228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Natural Resources &amp; Parks (originally sponsored by Senators Honeyford, Rivers, Fortunato, Becker, Bailey, Ericksen, Warnick, and Pearson)</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joint legislative task force on hydraulic project approval program jurisdiction;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legislative task force on hydraulic project approval program jurisdiction is established, with members as provided in this subsection.</w:t>
      </w:r>
    </w:p>
    <w:p>
      <w:pPr>
        <w:spacing w:before="0" w:after="0" w:line="408" w:lineRule="exact"/>
        <w:ind w:left="0" w:right="0" w:firstLine="576"/>
        <w:jc w:val="left"/>
      </w:pPr>
      <w:r>
        <w:rPr/>
        <w:t xml:space="preserve">(i) The president of the senate must appoint one member from each of the two largest caucuses of the senate.</w:t>
      </w:r>
    </w:p>
    <w:p>
      <w:pPr>
        <w:spacing w:before="0" w:after="0" w:line="408" w:lineRule="exact"/>
        <w:ind w:left="0" w:right="0" w:firstLine="576"/>
        <w:jc w:val="left"/>
      </w:pPr>
      <w:r>
        <w:rPr/>
        <w:t xml:space="preserve">(ii) The speaker of the house of representatives must appoint one member from each of the two largest caucuses of the house of representatives.</w:t>
      </w:r>
    </w:p>
    <w:p>
      <w:pPr>
        <w:spacing w:before="0" w:after="0" w:line="408" w:lineRule="exact"/>
        <w:ind w:left="0" w:right="0" w:firstLine="576"/>
        <w:jc w:val="left"/>
      </w:pPr>
      <w:r>
        <w:rPr/>
        <w:t xml:space="preserve">(iii) The legislative members must appoint additional members representing stakeholders including, but not limited to, business, local government, agricultural, and conservation interests, and request representation from tribal governments.</w:t>
      </w:r>
    </w:p>
    <w:p>
      <w:pPr>
        <w:spacing w:before="0" w:after="0" w:line="408" w:lineRule="exact"/>
        <w:ind w:left="0" w:right="0" w:firstLine="576"/>
        <w:jc w:val="left"/>
      </w:pPr>
      <w:r>
        <w:rPr/>
        <w:t xml:space="preserve">(iv) The director of fish and wildlife, or the director's designee, must serve as a member.</w:t>
      </w:r>
    </w:p>
    <w:p>
      <w:pPr>
        <w:spacing w:before="0" w:after="0" w:line="408" w:lineRule="exact"/>
        <w:ind w:left="0" w:right="0" w:firstLine="576"/>
        <w:jc w:val="left"/>
      </w:pPr>
      <w:r>
        <w:rPr/>
        <w:t xml:space="preserve">(b) The task force must choose cochairs from among its legislative membership. The legislative members must convene the initial meeting of the task force.</w:t>
      </w:r>
    </w:p>
    <w:p>
      <w:pPr>
        <w:spacing w:before="0" w:after="0" w:line="408" w:lineRule="exact"/>
        <w:ind w:left="0" w:right="0" w:firstLine="576"/>
        <w:jc w:val="left"/>
      </w:pPr>
      <w:r>
        <w:rPr/>
        <w:t xml:space="preserve">(2) The task force must review current law, current and historical practices of the department of fish and wildlife, and alternative approaches concerning the extent of hydraulic project approval program jurisdiction.</w:t>
      </w:r>
    </w:p>
    <w:p>
      <w:pPr>
        <w:spacing w:before="0" w:after="0" w:line="408" w:lineRule="exact"/>
        <w:ind w:left="0" w:right="0" w:firstLine="576"/>
        <w:jc w:val="left"/>
      </w:pPr>
      <w:r>
        <w:rPr/>
        <w:t xml:space="preserve">(3) Staff support for the task force must be provided by senate committee services and the house of representatives office of program research. The department of fish and wildlife must cooperate with the task force and provide information as the task force may reasonably request.</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provide a brief summary of its work and any recommendations to the appropriate committees of the legislature by October 1, 2017.</w:t>
      </w:r>
    </w:p>
    <w:p>
      <w:pPr>
        <w:spacing w:before="0" w:after="0" w:line="408" w:lineRule="exact"/>
        <w:ind w:left="0" w:right="0" w:firstLine="576"/>
        <w:jc w:val="left"/>
      </w:pPr>
      <w:r>
        <w:rPr/>
        <w:t xml:space="preserve">(7) This section expires June 30, 2018.</w:t>
      </w:r>
    </w:p>
    <w:p/>
    <w:p>
      <w:pPr>
        <w:jc w:val="center"/>
      </w:pPr>
      <w:r>
        <w:rPr>
          <w:b/>
        </w:rPr>
        <w:t>--- END ---</w:t>
      </w:r>
    </w:p>
    <w:sectPr>
      <w:pgNumType w:start="1"/>
      <w:footerReference xmlns:r="http://schemas.openxmlformats.org/officeDocument/2006/relationships" r:id="Rcaa131c600e443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aba9d24e6a4b46" /><Relationship Type="http://schemas.openxmlformats.org/officeDocument/2006/relationships/footer" Target="/word/footer.xml" Id="Rcaa131c600e4438b" /></Relationships>
</file>