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04359c85a4eb8" /></Relationships>
</file>

<file path=word/document.xml><?xml version="1.0" encoding="utf-8"?>
<w:document xmlns:w="http://schemas.openxmlformats.org/wordprocessingml/2006/main">
  <w:body>
    <w:p>
      <w:r>
        <w:t>S-0049.5</w:t>
      </w:r>
    </w:p>
    <w:p>
      <w:pPr>
        <w:jc w:val="center"/>
      </w:pPr>
      <w:r>
        <w:t>_______________________________________________</w:t>
      </w:r>
    </w:p>
    <w:p/>
    <w:p>
      <w:pPr>
        <w:jc w:val="center"/>
      </w:pPr>
      <w:r>
        <w:rPr>
          <w:b/>
        </w:rPr>
        <w:t>SENATE BILL 5239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Warnick, Takko, Ericksen, Becker, Walsh, Angel, Wilson, Schoesler, Honeyford, Pearson, Brown, and Padden</w:t>
      </w:r>
    </w:p>
    <w:p/>
    <w:p>
      <w:r>
        <w:rPr>
          <w:t xml:space="preserve">Read first time 01/18/17.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water is available to support development; amending RCW 19.27.097, 36.70A.070, and 58.17.110; adding a new section to chapter 90.44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this act, the legislature is amending the law that was under review by the supreme court of Washington in </w:t>
      </w:r>
      <w:r>
        <w:rPr>
          <w:i/>
        </w:rPr>
        <w:t xml:space="preserve">Whatcom County v. Western Washington Growth Management Hearings Board</w:t>
      </w:r>
      <w:r>
        <w:rPr/>
        <w:t xml:space="preserve"> (No. 91475-3, October 6, 2016), also known as the Hirst opinion. The legislature finds that the Hirst opinion imposes new requirements that create substantial hardships for property owners who rely on water drawn from wells to support reasonable uses of their property, and that such requirements threaten to halt economic development throughout the state, especially in rural areas. The legislature further finds that the new requirements imposed by the supreme court in the Hirst opinion are unnecessary as a matter of public policy because groundwater withdrawals that are exempt from permitting by the department of ecology under RCW 90.44.050 cumulatively represent less than one percent of the total water used in Washington. Therefore, the legislature is amending pertinent statutes to ensure that prospective application of the law is not controlled by the Hirst opinion.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w:t>
      </w:r>
      <w:r>
        <w:rPr>
          <w:u w:val="single"/>
        </w:rPr>
        <w:t xml:space="preserve">, including but not limited to information pertaining to applicable water resources management rules adopted by the department of ecology. If an applicant for a building permit proposes to use a groundwater withdrawal that is exempt from permitting by the department of ecology under RCW 90.44.050 to supply potable water for a building, the local building permitting authority may determine that it is sufficient under this subsection for the applicant to provide evidence that water is physically available for use</w:t>
      </w:r>
      <w:r>
        <w:rPr/>
        <w:t xml:space="preserve">.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rely on or refer to applicable water resources management rules adopted by the department of ecology.</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In approving a subdivision, dedication, or short subdivision under this chapter, a city, town, or county may rely on or refer to applicable water resources management rules adopted by the department of ecology to determine if appropriate provisions have been made for potable water supplies.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groundwater withdrawal that is exempt from the requirement to obtain a permit from the department under RCW 90.44.050 may not be deemed or considered to be causing impairment or injury to a base flow, minimum flow, minimum level, or other similar standard or policy, established by the department, regardless of the priority date of the base flow, minimum flow, minimum level, or other similar standard or policy.</w:t>
      </w:r>
    </w:p>
    <w:p>
      <w:pPr>
        <w:spacing w:before="0" w:after="0" w:line="408" w:lineRule="exact"/>
        <w:ind w:left="0" w:right="0" w:firstLine="576"/>
        <w:jc w:val="left"/>
      </w:pPr>
      <w:r>
        <w:rPr/>
        <w:t xml:space="preserve">(2) This section does not affect the ability of any person to pursue a cause of action for the protection of any water right that is not a base flow, minimum flow, minimum level, or other similar standard or policy, established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e8fcfa1751642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90bf33a6b54ece" /><Relationship Type="http://schemas.openxmlformats.org/officeDocument/2006/relationships/footer" Target="/word/footer.xml" Id="R0e8fcfa1751642d2" /></Relationships>
</file>