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7c725db7c48ba" /></Relationships>
</file>

<file path=word/document.xml><?xml version="1.0" encoding="utf-8"?>
<w:document xmlns:w="http://schemas.openxmlformats.org/wordprocessingml/2006/main">
  <w:body>
    <w:p>
      <w:r>
        <w:t>S-1340.1</w:t>
      </w:r>
    </w:p>
    <w:p>
      <w:pPr>
        <w:jc w:val="center"/>
      </w:pPr>
      <w:r>
        <w:t>_______________________________________________</w:t>
      </w:r>
    </w:p>
    <w:p/>
    <w:p>
      <w:pPr>
        <w:jc w:val="center"/>
      </w:pPr>
      <w:r>
        <w:rPr>
          <w:b/>
        </w:rPr>
        <w:t>SUBSTITUTE SENATE BILL 5262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King and Hobbs)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 does not exceed two hundred feet in overall length, </w:t>
      </w:r>
      <w:r>
        <w:rPr>
          <w:u w:val="single"/>
        </w:rPr>
        <w:t xml:space="preserve">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w:t>
      </w:r>
      <w:r>
        <w:rPr/>
        <w:t xml:space="preserve"> and is operated exclusively in the waters of the Puget Sound pilotage district and lower British Columbia,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904a4c05f59546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948210b26433e" /><Relationship Type="http://schemas.openxmlformats.org/officeDocument/2006/relationships/footer" Target="/word/footer.xml" Id="R904a4c05f5954611" /></Relationships>
</file>