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5ab5b4235f4d71" /></Relationships>
</file>

<file path=word/document.xml><?xml version="1.0" encoding="utf-8"?>
<w:document xmlns:w="http://schemas.openxmlformats.org/wordprocessingml/2006/main">
  <w:body>
    <w:p>
      <w:r>
        <w:t>S-0400.3</w:t>
      </w:r>
    </w:p>
    <w:p>
      <w:pPr>
        <w:jc w:val="center"/>
      </w:pPr>
      <w:r>
        <w:t>_______________________________________________</w:t>
      </w:r>
    </w:p>
    <w:p/>
    <w:p>
      <w:pPr>
        <w:jc w:val="center"/>
      </w:pPr>
      <w:r>
        <w:rPr>
          <w:b/>
        </w:rPr>
        <w:t>SENATE BILL 5267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Hunt, Mullet, Chase, Darneille, Ranker, Wellman, McCoy, Nelson, Liias, Billig, Palumbo, Keiser, Saldaña, Kuderer, Conway, Rolfes, Carlyle, Cleveland, Hasegawa, Hobbs, Pedersen, Takko, and Frockt</w:t>
      </w:r>
    </w:p>
    <w:p/>
    <w:p>
      <w:r>
        <w:rPr>
          <w:t xml:space="preserve">Read first time 01/18/17.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53.12.010, 54.12.010, and 29A.76.010; adding a new section to chapter 28A.343 RCW; adding a new section to chapter 35.21 RCW; adding a new section to chapter 35A.21 RCW; adding a new section to chapter 52.14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and encourage the use of a flexible and collaborative process between political subdivisions and individuals concerned with electoral fairness, in order to remedy potential electoral issues defined in this act without resorting to expensive litigation. The legislature intends that in order to avoid litigation: (1) Political subdivisions review their electoral systems and consider voluntarily changing them to address electoral issues; (2) political subdivisions voluntarily adopt electoral changes proposed by individuals concerned with electoral fairness to address electoral issues; or (3) political subdivisions and individuals concerned with electoral fairness collaborate to define and agree upon electoral changes to address electoral issues that are then voluntarily adopted by political subdivisions. The legislature intends that political subdivisions and individuals concerned with electoral fairness consider all of the foregoing courses of action prior to any litigation being filed, and that any political subdivision adopting any one of the foregoing courses of action in accordance with the provisions of this act, receive four years of safe harbor from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"Alternative proportional voting method" means any at large election that includes one of the following methods of voting for multiple members of the governing body of a political subdivision:</w:t>
      </w:r>
    </w:p>
    <w:p>
      <w:pPr>
        <w:spacing w:before="0" w:after="0" w:line="408" w:lineRule="exact"/>
        <w:ind w:left="0" w:right="0" w:firstLine="576"/>
        <w:jc w:val="left"/>
      </w:pPr>
      <w:r>
        <w:rPr/>
        <w:t xml:space="preserve">(a) Limiting the number of votes a voter is entitled to cast to fewer than there are positions to elect;</w:t>
      </w:r>
    </w:p>
    <w:p>
      <w:pPr>
        <w:spacing w:before="0" w:after="0" w:line="408" w:lineRule="exact"/>
        <w:ind w:left="0" w:right="0" w:firstLine="576"/>
        <w:jc w:val="left"/>
      </w:pPr>
      <w:r>
        <w:rPr/>
        <w:t xml:space="preserve">(b) Cumulating the number of votes a voter is entitled to cast for each position, and allowing the voter to cast the total number of votes in favor of a single candidate or to distribute the total number of votes among multiple candidates; or</w:t>
      </w:r>
    </w:p>
    <w:p>
      <w:pPr>
        <w:spacing w:before="0" w:after="0" w:line="408" w:lineRule="exact"/>
        <w:ind w:left="0" w:right="0" w:firstLine="576"/>
        <w:jc w:val="left"/>
      </w:pPr>
      <w:r>
        <w:rPr/>
        <w:t xml:space="preserve">(c) Voting in a single transferable vote where voters rank each candidate in order of preference, with their vote counting towards the highest ranked candidate, and preferences allocated among other candidates who are not elected on first place votes.</w:t>
      </w:r>
    </w:p>
    <w:p>
      <w:pPr>
        <w:spacing w:before="0" w:after="0" w:line="408" w:lineRule="exact"/>
        <w:ind w:left="0" w:right="0" w:firstLine="576"/>
        <w:jc w:val="left"/>
      </w:pPr>
      <w:r>
        <w:rPr/>
        <w:t xml:space="preserve">(2)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(3)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(4)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(5)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(6)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method of election may be imposed or applied in a manner that impairs the ability of members of a protected class to have an equal opportunity to elect candidates of their choice or an equal opportunity to influence the outcome of an election as a result of the dilution or abridgment of the rights of voters who are members of a protected class.</w:t>
      </w:r>
    </w:p>
    <w:p>
      <w:pPr>
        <w:spacing w:before="0" w:after="0" w:line="408" w:lineRule="exact"/>
        <w:ind w:left="0" w:right="0" w:firstLine="576"/>
        <w:jc w:val="left"/>
      </w:pPr>
      <w:r>
        <w:rPr/>
        <w:t xml:space="preserve">(2) A political subdivision is in violation of this act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(3) The fact that members of a protected class are not geographically compact or concentrated to constitute a majority in a proposed or existing district-based election district shall not preclude a finding of a violation under this act, but may be a factor in determining a remedy.</w:t>
      </w:r>
    </w:p>
    <w:p>
      <w:pPr>
        <w:spacing w:before="0" w:after="0" w:line="408" w:lineRule="exact"/>
        <w:ind w:left="0" w:right="0" w:firstLine="576"/>
        <w:jc w:val="left"/>
      </w:pPr>
      <w:r>
        <w:rPr/>
        <w:t xml:space="preserve">(4) Members of different protected classes may file an action jointly pursuant to this act if they demonstrate that their combined voting preferences as a group are different from the rest of the electorate.</w:t>
      </w:r>
    </w:p>
    <w:p>
      <w:pPr>
        <w:spacing w:before="0" w:after="0" w:line="408" w:lineRule="exact"/>
        <w:ind w:left="0" w:right="0" w:firstLine="576"/>
        <w:jc w:val="left"/>
      </w:pPr>
      <w:r>
        <w:rPr/>
        <w:t xml:space="preserve">(5) In determining whether there is polarized voting under this act,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act shall be used to establish or rebut the existence of polarized voting.</w:t>
      </w:r>
    </w:p>
    <w:p>
      <w:pPr>
        <w:spacing w:before="0" w:after="0" w:line="408" w:lineRule="exact"/>
        <w:ind w:left="0" w:right="0" w:firstLine="576"/>
        <w:jc w:val="left"/>
      </w:pPr>
      <w:r>
        <w:rPr/>
        <w:t xml:space="preserve">(6) The election of candidates who are members of a protected class and who were elected prior to the filing of an action pursuant to this act shall not preclude a finding of polarized voting that results in an unequal opportunity for a protected class to elect candidates of their choice or influence the outcome of an election.</w:t>
      </w:r>
    </w:p>
    <w:p>
      <w:pPr>
        <w:spacing w:before="0" w:after="0" w:line="408" w:lineRule="exact"/>
        <w:ind w:left="0" w:right="0" w:firstLine="576"/>
        <w:jc w:val="left"/>
      </w:pPr>
      <w:r>
        <w:rPr/>
        <w:t xml:space="preserve">(7) Proof of intent on the part of the voters or elected officials to discriminate against a protected class is not required for a cause of action to be sustained.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 action filed pursuant to this act,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(2) For purposes of any applicable statute of limitations, a cause of action under this act arises every time there is an election pursuant to an at large election or a district-based election.</w:t>
      </w:r>
    </w:p>
    <w:p>
      <w:pPr>
        <w:spacing w:before="0" w:after="0" w:line="408" w:lineRule="exact"/>
        <w:ind w:left="0" w:right="0" w:firstLine="576"/>
        <w:jc w:val="left"/>
      </w:pPr>
      <w:r>
        <w:rPr/>
        <w:t xml:space="preserve">(3) The plaintiff's constitutional right to the secrecy of the plaintiff's vote is preserved and is not waived by the filing of an action pursuant to this act, and is not subject to discovery or disclosure.</w:t>
      </w:r>
    </w:p>
    <w:p>
      <w:pPr>
        <w:spacing w:before="0" w:after="0" w:line="408" w:lineRule="exact"/>
        <w:ind w:left="0" w:right="0" w:firstLine="576"/>
        <w:jc w:val="left"/>
      </w:pPr>
      <w:r>
        <w:rPr/>
        <w:t xml:space="preserve">(4)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(5) No action may be filed pursuant to this act before January 15,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or an alternative proportional voting method to remedy a potential violation of section 4 of this act. If a political subdivision invokes its authority under this section to implement a district-based election system, the districts shall be drawn in a manner consistent with section 7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shall be subject to new elections, pursuant to the adopted plan,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7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7 of this act, shall prepare a plan for redistricting its districts, pursuant to RCW 29A.76.010, and in a manner consistent with this act.</w:t>
      </w:r>
    </w:p>
    <w:p>
      <w:pPr>
        <w:spacing w:before="0" w:after="0" w:line="408" w:lineRule="exact"/>
        <w:ind w:left="0" w:right="0" w:firstLine="576"/>
        <w:jc w:val="left"/>
      </w:pPr>
      <w:r>
        <w:rPr/>
        <w:t xml:space="preserve">(7) A political subdivision may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4 of this act, the court shall order appropriate remedies that are tailored to remedy the violation. The remedies may include, but are not limited to, the imposition of a district-based election system or an alternative proportional voting method.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 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0" w:after="0" w:line="408" w:lineRule="exact"/>
        <w:ind w:left="0" w:right="0" w:firstLine="576"/>
        <w:jc w:val="left"/>
      </w:pPr>
      <w:r>
        <w:rPr/>
        <w:t xml:space="preserve">(d) The remedy may provide for a political subdivision to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t xml:space="preserve">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resides in a political subdivision where a violation of section 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The political subdivision shall promptly make such notice public. If the political subdivision does not invoke its authority under section 6 of this act to implement the person's proposed remedy within one hundred eighty days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4 of this act.</w:t>
      </w:r>
    </w:p>
    <w:p>
      <w:pPr>
        <w:spacing w:before="0" w:after="0" w:line="408" w:lineRule="exact"/>
        <w:ind w:left="0" w:right="0" w:firstLine="576"/>
        <w:jc w:val="left"/>
      </w:pPr>
      <w:r>
        <w:rPr/>
        <w:t xml:space="preserve">(3) If, within one hundred eighty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 All notices shall be made public promptly.</w:t>
      </w:r>
    </w:p>
    <w:p>
      <w:pPr>
        <w:spacing w:before="0" w:after="0" w:line="408" w:lineRule="exact"/>
        <w:ind w:left="0" w:right="0" w:firstLine="576"/>
        <w:jc w:val="left"/>
      </w:pPr>
      <w:r>
        <w:rPr/>
        <w:t xml:space="preserve">(4) The political subdivision shall work in good faith with the person providing the notice to implement a remedy that provides the protected class or classes identified in the notice an equal opportunity to elect candidates of their choice or influence the outcome of an election.</w:t>
      </w:r>
    </w:p>
    <w:p>
      <w:pPr>
        <w:spacing w:before="0" w:after="0" w:line="408" w:lineRule="exact"/>
        <w:ind w:left="0" w:right="0" w:firstLine="576"/>
        <w:jc w:val="left"/>
      </w:pPr>
      <w:r>
        <w:rPr/>
        <w:t xml:space="preserve">(5)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(6) If the political subdivision adopts a remedy that takes the notice into account, or adopts the notice's proposed remedy, the political subdivision shall seek a court order acknowledging that the political subdivision's remedy complies with section 4 of this act. The person who submitted the notice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(7)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If the political subdivision adopts one of the remedies offered, or a different remedy that takes multiple notices into account, the political subdivision shall seek a court order acknowledging that the political subdivision's remedy complies with section 4 of this act. The persons who submitted notices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an action is filed, the political subdivision adopts a remedy that is sanctioned by a court pursuant to section 10 of this act, or implements a court-ordered remedy pursuant to section 7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system or an alternative proportional voting method as defined in section 3 of this act, such districts to be drawn in a manner consistent with sections 6 and 7 of this act. The school board of directors shall order new elections to be scheduled pursuant to section 6(4)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to remedy a potential violation of section 4 of this act, and any such change must be consistent with the requirements of this act. Except where necessary to comply with a court order issued pursuant to sections 4 and 7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or an alternative proportional voting method as defined in section 3 of this act, to remedy a potential violation of section 4 of this act. If the legislative authority of a city or town invokes its authority under this section to implement a district-based election system, the districts shall be drawn in a manner consistent with sections 6 and 7 of this act. The legislative authority of a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or an alternative proportional voting method as defined in section 3 of this act, to remedy a potential violation of section 4 of this act. If the legislative authority of a code city or town invokes its authority under this section to implement a district-based election system, the districts shall be drawn in a manner consistent with sections 6 and 7 of this act. The legislative authority of a code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Where the board of fire commissioners of a fire protection district exercises its authority pursuant to RCW 52.14.013 to create commissioner districts, such districts shall be drawn in a manner consistent with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010</w:t>
      </w:r>
      <w:r>
        <w:rPr/>
        <w:t xml:space="preserve"> and 2002 c 51 s 1 are each amended to read as follows:</w:t>
      </w:r>
    </w:p>
    <w:p>
      <w:pPr>
        <w:spacing w:before="0" w:after="0" w:line="408" w:lineRule="exact"/>
        <w:ind w:left="0" w:right="0" w:firstLine="576"/>
        <w:jc w:val="left"/>
      </w:pPr>
      <w:r>
        <w:rPr/>
        <w:t xml:space="preserve">(1) The powers of the port district shall be exercised through a port commission consisting of three or, when permitted by this title, five members. Every port district that is not coextensive with a county having a population of five hundred thousand or more shall be divided into the same number of commissioner districts as there are commissioner positions, each having approximately equal population, unless provided otherwise under subsection (2) of this section. Where a port district with three commissioner positions is coextensive with the boundaries of a county that has a population of less than five hundred thousand and the county has three county legislative authority districts, the port commissioner districts </w:t>
      </w:r>
      <w:r>
        <w:t>((</w:t>
      </w:r>
      <w:r>
        <w:rPr>
          <w:strike/>
        </w:rPr>
        <w:t xml:space="preserve">shall</w:t>
      </w:r>
      <w:r>
        <w:t>))</w:t>
      </w:r>
      <w:r>
        <w:rPr/>
        <w:t xml:space="preserve"> </w:t>
      </w:r>
      <w:r>
        <w:rPr>
          <w:u w:val="single"/>
        </w:rPr>
        <w:t xml:space="preserve">may</w:t>
      </w:r>
      <w:r>
        <w:rPr/>
        <w:t xml:space="preserve"> be the county legislative authority districts. In other instances where a port district is divided into commissioner districts, the port commission shall divide the port district into commissioner districts unless the commissioner districts have been described pursuant to RCW 53.04.031. The commissioner districts shall be altered as provided in chapter 53.16 RCW.</w:t>
      </w:r>
    </w:p>
    <w:p>
      <w:pPr>
        <w:spacing w:before="0" w:after="0" w:line="408" w:lineRule="exact"/>
        <w:ind w:left="0" w:right="0" w:firstLine="576"/>
        <w:jc w:val="left"/>
      </w:pPr>
      <w:r>
        <w:rPr/>
        <w:t xml:space="preserve">Commissioner districts shall be used as follows: (a) Only a registered voter who resides in a commissioner district may be a candidate for, or hold office as, a commissioner of the commissioner district; and (b) only the voters of a commissioner district may vote at a primary to nominate candidates for a commissioner of the commissioner district. Voters of the entire port district may vote at a general election to elect a person as a commissioner of the commissioner district.</w:t>
      </w:r>
    </w:p>
    <w:p>
      <w:pPr>
        <w:spacing w:before="0" w:after="0" w:line="408" w:lineRule="exact"/>
        <w:ind w:left="0" w:right="0" w:firstLine="576"/>
        <w:jc w:val="left"/>
      </w:pPr>
      <w:r>
        <w:rPr/>
        <w:t xml:space="preserve">(2)(a) In port districts with five commissioners, two of the commissioner districts may include the entire port district if approved by the voters of the district either at the time of formation or at a subsequent port district election at which the issue is proposed pursuant to a resolution adopted by the board of commissioners and delivered to the county auditor.</w:t>
      </w:r>
    </w:p>
    <w:p>
      <w:pPr>
        <w:spacing w:before="0" w:after="0" w:line="408" w:lineRule="exact"/>
        <w:ind w:left="0" w:right="0" w:firstLine="576"/>
        <w:jc w:val="left"/>
      </w:pPr>
      <w:r>
        <w:rPr/>
        <w:t xml:space="preserve">(b) In a port district with five commissioners, where two of the commissioner districts include the entire port district, the port district may be divided into five commissioner districts if proposed pursuant to a resolution adopted by the board of commissioners or pursuant to a petition by the voters and approved by the voters of the district at the next general or special election occurring sixty or more days after the adoption of the resolution. A petition proposing such an increase must be submitted to the county auditor of the county in which the port district is located and signed by voters of the port district at least equal in number to ten percent of the number of voters in the port district who voted at the last general election.</w:t>
      </w:r>
    </w:p>
    <w:p>
      <w:pPr>
        <w:spacing w:before="0" w:after="0" w:line="408" w:lineRule="exact"/>
        <w:ind w:left="0" w:right="0" w:firstLine="576"/>
        <w:jc w:val="left"/>
      </w:pPr>
      <w:r>
        <w:rPr/>
        <w:t xml:space="preserve">Upon approval by the voters, the commissioner district boundaries shall be redrawn into five districts within one hundred twenty days and submitted to the county auditor pursuant to RCW 53.16.015. The new commissioner districts shall be numbered one through five and the three incumbent commissioners representing the three former districts shall represent commissioner districts one through three. The two at large incumbent commissioners shall represent commissioner districts four and five. If, as a result of redrawing the district boundaries more than one of the incumbent commissioners resides in one of the new commissioner districts, the commissioners who reside in the same commissioner district shall determine by lot which of the numbered commissioner districts they shall represent for the remainder of their respective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7 of this act</w:t>
      </w:r>
      <w:r>
        <w:rPr/>
        <w:t xml:space="preserve">, and shall be examined every ten years to determine substantial equality of population in accordance with chapter 29A.76 RCW. Except as provided in this section</w:t>
      </w:r>
      <w:r>
        <w:rPr>
          <w:u w:val="single"/>
        </w:rPr>
        <w:t xml:space="preserve">, section 7 of this act,</w:t>
      </w:r>
      <w:r>
        <w:rPr/>
        <w:t xml:space="preserve"> or RCW 54.04.039,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21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687db819d47e4f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5d0c55789a4755" /><Relationship Type="http://schemas.openxmlformats.org/officeDocument/2006/relationships/footer" Target="/word/footer.xml" Id="R687db819d47e4f01" /></Relationships>
</file>