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24601276d64b90" /></Relationships>
</file>

<file path=word/document.xml><?xml version="1.0" encoding="utf-8"?>
<w:document xmlns:w="http://schemas.openxmlformats.org/wordprocessingml/2006/main">
  <w:body>
    <w:p>
      <w:r>
        <w:t>S-0600.1</w:t>
      </w:r>
    </w:p>
    <w:p>
      <w:pPr>
        <w:jc w:val="center"/>
      </w:pPr>
      <w:r>
        <w:t>_______________________________________________</w:t>
      </w:r>
    </w:p>
    <w:p/>
    <w:p>
      <w:pPr>
        <w:jc w:val="center"/>
      </w:pPr>
      <w:r>
        <w:rPr>
          <w:b/>
        </w:rPr>
        <w:t>SENATE BILL 5268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Chase, Warnick, Schoesler, King, Sheldon, Saldaña, Cleveland, Pearson, Honeyford, Hawkins, Wilson, Becker, and Hasegawa</w:t>
      </w:r>
    </w:p>
    <w:p/>
    <w:p>
      <w:r>
        <w:rPr>
          <w:t xml:space="preserve">Read first time 01/18/17.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to the licensee before a concealed pistol license expires; and amending RCW 9.41.070.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2011 c 294 s 1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w:t>
      </w:r>
      <w:r>
        <w:rPr>
          <w:u w:val="single"/>
        </w:rPr>
        <w:t xml:space="preserve">email address at the option of the applicant,</w:t>
      </w:r>
      <w:r>
        <w:rPr/>
        <w:t xml:space="preserve">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two complete sets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 and</w:t>
      </w:r>
    </w:p>
    <w:p>
      <w:pPr>
        <w:spacing w:before="0" w:after="0" w:line="408" w:lineRule="exact"/>
        <w:ind w:left="0" w:right="0" w:firstLine="576"/>
        <w:jc w:val="left"/>
      </w:pPr>
      <w:r>
        <w:rPr/>
        <w:t xml:space="preserve">(d) Three dollars to the firearms range account in the general fund.</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 and</w:t>
      </w:r>
    </w:p>
    <w:p>
      <w:pPr>
        <w:spacing w:before="0" w:after="0" w:line="408" w:lineRule="exact"/>
        <w:ind w:left="0" w:right="0" w:firstLine="576"/>
        <w:jc w:val="left"/>
      </w:pPr>
      <w:r>
        <w:rPr/>
        <w:t xml:space="preserve">(c) Three dollars to the firearms range account in the general fund.</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 </w:t>
      </w:r>
      <w:r>
        <w:rPr>
          <w:u w:val="single"/>
        </w:rPr>
        <w:t xml:space="preserve">If the licensee provides an email address at the time of application, the department of licensing must send notice of the license expiration to the licensee's email address within sixty days prior to the expiration of the license.</w:t>
      </w:r>
      <w:r>
        <w:rPr/>
        <w:t xml:space="preserve">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(a)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(b) Seven dollars shall be paid to the issuing authority for the purpose of enforcing this chapter.</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
      <w:pPr>
        <w:jc w:val="center"/>
      </w:pPr>
      <w:r>
        <w:rPr>
          <w:b/>
        </w:rPr>
        <w:t>--- END ---</w:t>
      </w:r>
    </w:p>
    <w:sectPr>
      <w:pgNumType w:start="1"/>
      <w:footerReference xmlns:r="http://schemas.openxmlformats.org/officeDocument/2006/relationships" r:id="R92b456a1f2824f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2b8e2da34c492d" /><Relationship Type="http://schemas.openxmlformats.org/officeDocument/2006/relationships/footer" Target="/word/footer.xml" Id="R92b456a1f2824ff2" /></Relationships>
</file>