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6d35653b054aa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5280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Rivers, Becker, Sheldon, Brown, Angel, Miloscia, Warnick, Padden, Bailey, and Wilson</w:t>
      </w:r>
    </w:p>
    <w:p/>
    <w:p>
      <w:r>
        <w:rPr>
          <w:t xml:space="preserve">Read first time 01/19/17.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crimes and threats against persons because of their occupation as a law enforcement officer a hate crime; amending RCW 9A.36.078, 9A.36.080, 9A.46.060, and 36.28A.030;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078</w:t>
      </w:r>
      <w:r>
        <w:rPr/>
        <w:t xml:space="preserve"> and 1993 c 127 s 1 are each amended to read as follows:</w:t>
      </w:r>
    </w:p>
    <w:p>
      <w:pPr>
        <w:spacing w:before="0" w:after="0" w:line="408" w:lineRule="exact"/>
        <w:ind w:left="0" w:right="0" w:firstLine="576"/>
        <w:jc w:val="left"/>
      </w:pPr>
      <w:r>
        <w:rPr/>
        <w:t xml:space="preserve">The legislature finds that crimes and threats against persons because of their race, color, religion, ancestry, national origin, gender, </w:t>
      </w:r>
      <w:r>
        <w:rPr>
          <w:u w:val="single"/>
        </w:rPr>
        <w:t xml:space="preserve">occupation as a law enforcement officer,</w:t>
      </w:r>
      <w:r>
        <w:rPr/>
        <w:t xml:space="preserve"> sexual orientation, or mental, physical, or sensory handicaps are serious and increasing. The legislature also finds that crimes and threats are often directed against interracial couples and their children or couples of mixed religions, colors, ancestries, or national origins because of bias and bigotry against the race, color, religion, ancestry, or national origin of one person in the couple or family. The legislature finds that the state interest in preventing crimes and threats motivated by bigotry and bias goes beyond the state interest in preventing other felonies or misdemeanors such as criminal trespass, malicious mischief, assault, or other crimes that are not motivated by hatred, bigotry, and bias, and that prosecution of those other crimes inadequately protects citizens from crimes and threats motivated by bigotry and bias. Therefore, the legislature finds that protection of those citizens from threats of harm due to bias and bigotry is a compelling state interest.</w:t>
      </w:r>
    </w:p>
    <w:p>
      <w:pPr>
        <w:spacing w:before="0" w:after="0" w:line="408" w:lineRule="exact"/>
        <w:ind w:left="0" w:right="0" w:firstLine="576"/>
        <w:jc w:val="left"/>
      </w:pPr>
      <w:r>
        <w:rPr/>
        <w:t xml:space="preserve">The legislature also finds that in many cases, certain discrete words or symbols are used to threaten the victims. Those discrete words or symbols have historically or traditionally been used to connote hatred or threats towards members of the class of which the victim or a member of the victim's family or household is a member. In particular, the legislature finds that cross burnings historically and traditionally have been used to threaten, terrorize, intimidate, and harass African Americans and their families. Cross burnings often preceded lynchings, murders, burning of homes, and other acts of terror. Further, Nazi swastikas historically and traditionally have been used to threaten, terrorize, intimidate, and harass Jewish people and their families. Swastikas symbolize the massive destruction of the Jewish population, commonly known as the holocaust. Therefore, the legislature finds that any person who burns or attempts to burn a cross or displays a swastika on the property of the victim or burns a cross or displays a swastika as part of a series of acts directed towards a particular person, the person's family or household members, or a particular group, knows or reasonably should know that the cross burning or swastika may create a reasonable fear of harm in the mind of the person, the person's family and household members, or the group.</w:t>
      </w:r>
    </w:p>
    <w:p>
      <w:pPr>
        <w:spacing w:before="0" w:after="0" w:line="408" w:lineRule="exact"/>
        <w:ind w:left="0" w:right="0" w:firstLine="576"/>
        <w:jc w:val="left"/>
      </w:pPr>
      <w:r>
        <w:rPr/>
        <w:t xml:space="preserve">The legislature also finds that a hate crime committed against a victim because of the victim's gender may be identified in the same manner that a hate crime committed against a victim of another protected group is identified. Affirmative indications of hatred towards gender as a class is the predominant factor to consider. Other factors to consider include the perpetrator's use of language, slurs, or symbols expressing hatred towards the victim's gender as a class; the severity of the attack including mutilation of the victim's sexual organs; a history of similar attacks against victims of the same gender by the perpetrator or a history of similar incidents in the same area; a lack of provocation; an absence of any other apparent motivation; and common sense.</w:t>
      </w:r>
    </w:p>
    <w:p>
      <w:pPr>
        <w:spacing w:before="0" w:after="0" w:line="408" w:lineRule="exact"/>
        <w:ind w:left="0" w:right="0" w:firstLine="576"/>
        <w:jc w:val="left"/>
      </w:pPr>
      <w:r>
        <w:rPr>
          <w:u w:val="single"/>
        </w:rPr>
        <w:t xml:space="preserve">The legislature also finds that a hate crime committed against a victim because of the victim's occupation as a law enforcement officer may be identified in the same manner that a hate crime committed against a victim of another protected group is identified. Affirmative indications of hatred towards the victim's occupation as a law enforcement officer as a class is the predominant factor to consider. Other factors to consider include the perpetrator's use of language, slurs, or symbols expressing hatred towards the victim's occupation as a law enforcement officer as a class; the severity of the attack; a history of similar attacks against victims of the same occupation as a law enforcement officer by the perpetrator or a history of similar incidents in the same area; a lack of provocation; an absence of any other apparent motivation; and common sense.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2010 c 119 s 1 are each amended to read as follows:</w:t>
      </w:r>
    </w:p>
    <w:p>
      <w:pPr>
        <w:spacing w:before="0" w:after="0" w:line="408" w:lineRule="exact"/>
        <w:ind w:left="0" w:right="0" w:firstLine="576"/>
        <w:jc w:val="left"/>
      </w:pPr>
      <w:r>
        <w:rPr/>
        <w:t xml:space="preserve">(1) A person is guilty of malicious harassment if he or she maliciously and intentionally commits one of the following acts because of his or her perception of the victim's race, color, religion, ancestry, national origin, gender, </w:t>
      </w:r>
      <w:r>
        <w:rPr>
          <w:u w:val="single"/>
        </w:rPr>
        <w:t xml:space="preserve">occupation as a law enforcement officer,</w:t>
      </w:r>
      <w:r>
        <w:rPr/>
        <w:t xml:space="preserve"> sexual orientation, or mental, physical, or sensory handicap:</w:t>
      </w:r>
    </w:p>
    <w:p>
      <w:pPr>
        <w:spacing w:before="0" w:after="0" w:line="408" w:lineRule="exact"/>
        <w:ind w:left="0" w:right="0" w:firstLine="576"/>
        <w:jc w:val="left"/>
      </w:pPr>
      <w:r>
        <w:rPr/>
        <w:t xml:space="preserve">(a) Causes physical injury to the victim or another person; </w:t>
      </w:r>
    </w:p>
    <w:p>
      <w:pPr>
        <w:spacing w:before="0" w:after="0" w:line="408" w:lineRule="exact"/>
        <w:ind w:left="0" w:right="0" w:firstLine="576"/>
        <w:jc w:val="left"/>
      </w:pPr>
      <w:r>
        <w:rPr/>
        <w:t xml:space="preserve">(b) Causes physical damage to or destruction of the property of the victim or another person;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w:t>
      </w:r>
      <w:r>
        <w:rPr>
          <w:u w:val="single"/>
        </w:rPr>
        <w:t xml:space="preserve">occupation as a law enforcement officer,</w:t>
      </w:r>
      <w:r>
        <w:rPr/>
        <w:t xml:space="preserve"> or sexual orientation, or who has the same mental, physical, or sensory handicap as the victim. Words alone do not constitute malicious harassment unless the context or circumstances surrounding the words indicate the words are a threat. Threatening words do not constitute malicious harassment if it is apparent to the victim that the person does not have the ability to carry out the threat.</w:t>
      </w:r>
    </w:p>
    <w:p>
      <w:pPr>
        <w:spacing w:before="0" w:after="0" w:line="408" w:lineRule="exact"/>
        <w:ind w:left="0" w:right="0" w:firstLine="576"/>
        <w:jc w:val="left"/>
      </w:pPr>
      <w:r>
        <w:rPr/>
        <w:t xml:space="preserve">(2) In any prosecution for malicious harassment,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w:t>
      </w:r>
      <w:r>
        <w:rPr>
          <w:u w:val="single"/>
        </w:rPr>
        <w:t xml:space="preserve">occupation as a law enforcement officer,</w:t>
      </w:r>
      <w:r>
        <w:rPr/>
        <w:t xml:space="preserve"> sexual orientation, or mental, physical, or sensory handicap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 or</w:t>
      </w:r>
    </w:p>
    <w:p>
      <w:pPr>
        <w:spacing w:before="0" w:after="0" w:line="408" w:lineRule="exact"/>
        <w:ind w:left="0" w:right="0" w:firstLine="576"/>
        <w:jc w:val="left"/>
      </w:pPr>
      <w:r>
        <w:rPr/>
        <w:t xml:space="preserve">(b) Defaces property of a victim who is or whom the actor perceives to be of Jewish heritage by defacing the property with a swastika.</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or (b)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w:t>
      </w:r>
      <w:r>
        <w:rPr>
          <w:u w:val="single"/>
        </w:rPr>
        <w:t xml:space="preserve">occupation as a law enforcement officer,</w:t>
      </w:r>
      <w:r>
        <w:rPr/>
        <w:t xml:space="preserve"> or sexual orientation, or had a mental, physical, or sensory handicap.</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"Sexual orientation" has the same meaning as in RCW 49.60.040.</w:t>
      </w:r>
    </w:p>
    <w:p>
      <w:pPr>
        <w:spacing w:before="0" w:after="0" w:line="408" w:lineRule="exact"/>
        <w:ind w:left="0" w:right="0" w:firstLine="576"/>
        <w:jc w:val="left"/>
      </w:pPr>
      <w:r>
        <w:rPr/>
        <w:t xml:space="preserve">(b)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Malicious harassment is a class C felony.</w:t>
      </w:r>
    </w:p>
    <w:p>
      <w:pPr>
        <w:spacing w:before="0" w:after="0" w:line="408" w:lineRule="exact"/>
        <w:ind w:left="0" w:right="0" w:firstLine="576"/>
        <w:jc w:val="left"/>
      </w:pPr>
      <w:r>
        <w:rPr/>
        <w:t xml:space="preserve">(8) The penalties provided in this section for malicious harassment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2006 c 138 s 21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Malicious harassment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w:t>
      </w:r>
      <w:r>
        <w:rPr>
          <w:u w:val="single"/>
        </w:rPr>
        <w:t xml:space="preserve">Assault in the third degree involving a law enforcement officer (RCW 9A.36.031);</w:t>
      </w:r>
    </w:p>
    <w:p>
      <w:pPr>
        <w:spacing w:before="0" w:after="0" w:line="408" w:lineRule="exact"/>
        <w:ind w:left="0" w:right="0" w:firstLine="576"/>
        <w:jc w:val="left"/>
      </w:pPr>
      <w:r>
        <w:rPr>
          <w:u w:val="single"/>
        </w:rPr>
        <w:t xml:space="preserve">(10)</w:t>
      </w:r>
      <w:r>
        <w:rPr/>
        <w:t xml:space="preserve"> Reckless endangerment (RCW 9A.36.050);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Extortion in the first degree (RCW 9A.56.120);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Extortion in the second degree (RCW 9A.56.130);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Coercion (RCW 9A.36.070);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Burglary in the first degree (RCW 9A.52.020);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Burglary in the second degree (RCW 9A.52.030);</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Criminal trespass in the first degree (RCW 9A.52.070);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Criminal trespass in the second degree (RCW 9A.52.080);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Malicious mischief in the first degree (RCW 9A.48.070);</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Malicious mischief in the second degree (RCW 9A.48.080);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Malicious mischief in the third degree (RCW 9A.48.090);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Kidnapping in the first degree (RCW 9A.40.020);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Kidnapping in the second degree (RCW 9A.40.030);</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Unlawful imprisonment (RCW 9A.40.040);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Rape in the first degree (RCW 9A.44.040);</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Rape in the second degree (RCW 9A.44.050);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Rape in the third degree (RCW 9A.44.060);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Indecent liberties (RCW 9A.44.100);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Rape of a child in the first degree (RCW 9A.44.073);</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Rape of a child in the second degree (RCW 9A.44.076);</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Rape of a child in the third degree (RCW 9A.44.079);</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Child molestation in the first degree (RCW 9A.44.083);</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Child molestation in the second degree (RCW 9A.44.086);</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Child molestation in the third degree (RCW 9A.44.089);</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Stalking (RCW 9A.46.110);</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Cyberstalking (RCW 9.61.260);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Residential burglary (RCW 9A.52.025);</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Violation of a temporary, permanent, or final protective order issued pursuant to chapter 7.90, 9A.46, 10.14, 10.99, 26.09, or 26.50 RCW;</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Unlawful discharge of a laser in the first degree (RCW 9A.49.020); and</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030</w:t>
      </w:r>
      <w:r>
        <w:rPr/>
        <w:t xml:space="preserve"> and 1993 c 127 s 4 are each amended to read as follows:</w:t>
      </w:r>
    </w:p>
    <w:p>
      <w:pPr>
        <w:spacing w:before="0" w:after="0" w:line="408" w:lineRule="exact"/>
        <w:ind w:left="0" w:right="0" w:firstLine="576"/>
        <w:jc w:val="left"/>
      </w:pPr>
      <w:r>
        <w:rPr/>
        <w:t xml:space="preserve">(1) The Washington association of sheriffs and police chiefs shall establish and maintain a central repository for the collection and classification of information regarding violations of RCW 9A.36.080. Upon establishing such a repository, the association shall develop a procedure to monitor, record, and classify information relating to violations of RCW 9A.36.080 and any other crimes of bigotry or bias apparently directed against other persons because the people committing the crimes perceived that their victims were of a particular race, color, religion, ancestry, national origin, gender, </w:t>
      </w:r>
      <w:r>
        <w:rPr>
          <w:u w:val="single"/>
        </w:rPr>
        <w:t xml:space="preserve">occupation as a law enforcement officer,</w:t>
      </w:r>
      <w:r>
        <w:rPr/>
        <w:t xml:space="preserve"> sexual orientation, or had a mental, physical, or sensory handicap.</w:t>
      </w:r>
    </w:p>
    <w:p>
      <w:pPr>
        <w:spacing w:before="0" w:after="0" w:line="408" w:lineRule="exact"/>
        <w:ind w:left="0" w:right="0" w:firstLine="576"/>
        <w:jc w:val="left"/>
      </w:pPr>
      <w:r>
        <w:rPr/>
        <w:t xml:space="preserve">(2) All local law enforcement agencies shall report monthly to the association concerning all violations of RCW 9A.36.080 and any other crimes of bigotry or bias in such form and in such manner as prescribed by rules adopted by the association. Agency participation in the association's reporting programs, with regard to the specific data requirements associated with violations of RCW 9A.36.080 and any other crimes of bigotry or bias, shall be deemed to meet agency reporting requirements. The association must summarize the information received and file an annual report with the governor and the senate law and justice committee and the house of representatives judiciary committee.</w:t>
      </w:r>
    </w:p>
    <w:p>
      <w:pPr>
        <w:spacing w:before="0" w:after="0" w:line="408" w:lineRule="exact"/>
        <w:ind w:left="0" w:right="0" w:firstLine="576"/>
        <w:jc w:val="left"/>
      </w:pPr>
      <w:r>
        <w:rPr/>
        <w:t xml:space="preserve">(3) The association shall disseminate the information according to the provisions of chapters 10.97 and 10.98 RCW, and all other confidentiality requirements imposed by federal or Washington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3681f52a35f40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5d7334ffdd49d2" /><Relationship Type="http://schemas.openxmlformats.org/officeDocument/2006/relationships/footer" Target="/word/footer.xml" Id="Rd3681f52a35f4046" /></Relationships>
</file>