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766b2cc06543f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Senators Angel, Fortunato, Takko, Fain, Sheldon, and Hobbs)</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board of health rules regarding on-site sewage systems; and amending RCW 43.20.050.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t xml:space="preserve">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70.119A.020, necessary to assure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 Adopt rules as necessary for group B public water systems, as defined in RCW 70.119A.020. The rules shall, at a minimum, establish requirements regarding the initial design and construction of a public water system. The state board of health rules may waive some or all requirements for group B public water systems with fewer than five connections;</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w:t>
      </w:r>
      <w:r>
        <w:rPr>
          <w:u w:val="single"/>
        </w:rPr>
        <w:t xml:space="preserve">(a)</w:t>
      </w:r>
      <w:r>
        <w:rPr/>
        <w:t xml:space="preserve">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u w:val="single"/>
        </w:rPr>
        <w:t xml:space="preserve">(b) Rules under this subsection (3) must not require:</w:t>
      </w:r>
    </w:p>
    <w:p>
      <w:pPr>
        <w:spacing w:before="0" w:after="0" w:line="408" w:lineRule="exact"/>
        <w:ind w:left="0" w:right="0" w:firstLine="576"/>
        <w:jc w:val="left"/>
      </w:pPr>
      <w:r>
        <w:rPr>
          <w:u w:val="single"/>
        </w:rPr>
        <w:t xml:space="preserve">(i) A use permit to be conditioned with a requirement for a monitoring contract between a private company and a private individual or property owner;</w:t>
      </w:r>
    </w:p>
    <w:p>
      <w:pPr>
        <w:spacing w:before="0" w:after="0" w:line="408" w:lineRule="exact"/>
        <w:ind w:left="0" w:right="0" w:firstLine="576"/>
        <w:jc w:val="left"/>
      </w:pPr>
      <w:r>
        <w:rPr>
          <w:u w:val="single"/>
        </w:rPr>
        <w:t xml:space="preserve">(ii) Dedicated easements for the inspection, maintenance, or potential future expansion of an on-site sewage system; or</w:t>
      </w:r>
    </w:p>
    <w:p>
      <w:pPr>
        <w:spacing w:before="0" w:after="0" w:line="408" w:lineRule="exact"/>
        <w:ind w:left="0" w:right="0" w:firstLine="576"/>
        <w:jc w:val="left"/>
      </w:pPr>
      <w:r>
        <w:rPr>
          <w:u w:val="single"/>
        </w:rPr>
        <w:t xml:space="preserve">(iii) Replacement of an existing on-site sewage system if a repair returns the system to its previously permitted or original functioning state.</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w:t>
      </w:r>
      <w:r>
        <w:rPr>
          <w:u w:val="single"/>
        </w:rPr>
        <w:t xml:space="preserve">and must comply with the same rule limitations as the state board of health under subsection (3) of this section</w:t>
      </w:r>
      <w:r>
        <w:rPr/>
        <w:t xml:space="preserve">.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
      <w:pPr>
        <w:jc w:val="center"/>
      </w:pPr>
      <w:r>
        <w:rPr>
          <w:b/>
        </w:rPr>
        <w:t>--- END ---</w:t>
      </w:r>
    </w:p>
    <w:sectPr>
      <w:pgNumType w:start="1"/>
      <w:footerReference xmlns:r="http://schemas.openxmlformats.org/officeDocument/2006/relationships" r:id="R39321c97111841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23ba1533414f23" /><Relationship Type="http://schemas.openxmlformats.org/officeDocument/2006/relationships/footer" Target="/word/footer.xml" Id="R39321c971118411f" /></Relationships>
</file>