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8ca8ab16f44aa" /></Relationships>
</file>

<file path=word/document.xml><?xml version="1.0" encoding="utf-8"?>
<w:document xmlns:w="http://schemas.openxmlformats.org/wordprocessingml/2006/main">
  <w:body>
    <w:p>
      <w:r>
        <w:t>S-0625.1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5308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Senators Palumbo, Fain, Hunt, Billig, McCoy, Ranker, Liias, Saldaña, Hasegawa, Kuderer, Wellman, Carlyle, Frockt, and Pedersen</w:t>
      </w:r>
    </w:p>
    <w:p/>
    <w:p>
      <w:r>
        <w:rPr>
          <w:t xml:space="preserve">Read first time 01/19/17.  </w:t>
        </w:rPr>
      </w:r>
      <w:r>
        <w:rPr>
          <w:t xml:space="preserve">Referred to Committee on Law &amp; Justice.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limiting disclosure of information about the religious affiliation of individuals; and adding a new section to chapter 49.60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49</w:t>
      </w:r>
      <w:r>
        <w:rPr/>
        <w:t xml:space="preserve">.</w:t>
      </w:r>
      <w:r>
        <w:t xml:space="preserve">60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legislature finds: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Washington state celebrates the rich cultural heritage and diversity of its residents;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Freedom of religion and protection from persecution on the basis of religion is one of the founding ideals of the nation;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Washington must uphold the protection of religious freedom enshrined in the United States Constitution for all of its people, and the state has a moral obligation to protect its citizens from religious persecution.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An agency shall not provide or disclose to federal authorities personal information regarding the religious affiliation of any individual that is requested for the purpose of compiling a database of individuals based solely on religious affiliation.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As used in this section, "agency" has the definition in RCW 42.52.010.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a305cfbedbbb47cb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5308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8c384c27d4f0d" /><Relationship Type="http://schemas.openxmlformats.org/officeDocument/2006/relationships/footer" Target="/word/footer.xml" Id="Ra305cfbedbbb47cb" /></Relationships>
</file>