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b3297bb4f24ca5" /></Relationships>
</file>

<file path=word/document.xml><?xml version="1.0" encoding="utf-8"?>
<w:document xmlns:w="http://schemas.openxmlformats.org/wordprocessingml/2006/main">
  <w:body>
    <w:p>
      <w:r>
        <w:t>S-0713.1</w:t>
      </w:r>
    </w:p>
    <w:p>
      <w:pPr>
        <w:jc w:val="center"/>
      </w:pPr>
      <w:r>
        <w:t>_______________________________________________</w:t>
      </w:r>
    </w:p>
    <w:p/>
    <w:p>
      <w:pPr>
        <w:jc w:val="center"/>
      </w:pPr>
      <w:r>
        <w:rPr>
          <w:b/>
        </w:rPr>
        <w:t>SENATE BILL 5368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Rivers, O'Ban, Brown, Sheldon, Angel, Bailey, Braun, Warnick, and Honeyford</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authority to seek medicaid waivers; amending RCW 74.09.530; and repealing RCW 74.09.5222.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0" w:after="0" w:line="408" w:lineRule="exact"/>
        <w:ind w:left="0" w:right="0" w:firstLine="576"/>
        <w:jc w:val="left"/>
      </w:pPr>
      <w:r>
        <w:rPr>
          <w:u w:val="single"/>
        </w:rPr>
        <w:t xml:space="preserve">(3) The authority shall not pursue federal waivers that obligate the state to future spending, create entitlements, or expand the scope of government without legislative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5222</w:t>
      </w:r>
      <w:r>
        <w:rPr/>
        <w:t xml:space="preserve"> (Medical assistance</w:t>
      </w:r>
      <w:r>
        <w:rPr>
          <w:rFonts w:ascii="Times New Roman" w:hAnsi="Times New Roman"/>
        </w:rPr>
        <w:t xml:space="preserve">—</w:t>
      </w:r>
      <w:r>
        <w:rPr/>
        <w:t xml:space="preserve">Section 1115 demonstration waiver request) and 2011 1st sp.s. c 15 s 30 &amp; 2009 c 545 s 4 are each repealed.</w:t>
      </w:r>
    </w:p>
    <w:p/>
    <w:p>
      <w:pPr>
        <w:jc w:val="center"/>
      </w:pPr>
      <w:r>
        <w:rPr>
          <w:b/>
        </w:rPr>
        <w:t>--- END ---</w:t>
      </w:r>
    </w:p>
    <w:sectPr>
      <w:pgNumType w:start="1"/>
      <w:footerReference xmlns:r="http://schemas.openxmlformats.org/officeDocument/2006/relationships" r:id="Rdf04da915ff04e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ce6ad54e84496f" /><Relationship Type="http://schemas.openxmlformats.org/officeDocument/2006/relationships/footer" Target="/word/footer.xml" Id="Rdf04da915ff04e36" /></Relationships>
</file>