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73b9225ed4979" /></Relationships>
</file>

<file path=word/document.xml><?xml version="1.0" encoding="utf-8"?>
<w:document xmlns:w="http://schemas.openxmlformats.org/wordprocessingml/2006/main">
  <w:body>
    <w:p>
      <w:r>
        <w:t>S-0785.2</w:t>
      </w:r>
    </w:p>
    <w:p>
      <w:pPr>
        <w:jc w:val="center"/>
      </w:pPr>
      <w:r>
        <w:t>_______________________________________________</w:t>
      </w:r>
    </w:p>
    <w:p/>
    <w:p>
      <w:pPr>
        <w:jc w:val="center"/>
      </w:pPr>
      <w:r>
        <w:rPr>
          <w:b/>
        </w:rPr>
        <w:t>SENATE BILL 5379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and Wellman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constructing all new public buildings with cross-laminated timber; amending RCW 39.04.010;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new public buildings that are twelve stories or less must, to the maximum extent practicable, be constructed with cross-laminated timber.</w:t>
      </w:r>
    </w:p>
    <w:p>
      <w:pPr>
        <w:spacing w:before="0" w:after="0" w:line="408" w:lineRule="exact"/>
        <w:ind w:left="0" w:right="0" w:firstLine="576"/>
        <w:jc w:val="left"/>
      </w:pPr>
      <w:r>
        <w:rPr/>
        <w:t xml:space="preserve">(2) The department of enterprise services may grant a waiver to a public agency or a municipality from the requirements of subsection (1) of this section on the basis that the waiver is necessary due to the following reasons, including but not limited to:</w:t>
      </w:r>
    </w:p>
    <w:p>
      <w:pPr>
        <w:spacing w:before="0" w:after="0" w:line="408" w:lineRule="exact"/>
        <w:ind w:left="0" w:right="0" w:firstLine="576"/>
        <w:jc w:val="left"/>
      </w:pPr>
      <w:r>
        <w:rPr/>
        <w:t xml:space="preserve">(a) Unavailability of building materials; or</w:t>
      </w:r>
    </w:p>
    <w:p>
      <w:pPr>
        <w:spacing w:before="0" w:after="0" w:line="408" w:lineRule="exact"/>
        <w:ind w:left="0" w:right="0" w:firstLine="576"/>
        <w:jc w:val="left"/>
      </w:pPr>
      <w:r>
        <w:rPr/>
        <w:t xml:space="preserve">(b) Structural infeasibility.</w:t>
      </w:r>
    </w:p>
    <w:p>
      <w:pPr>
        <w:spacing w:before="0" w:after="0" w:line="408" w:lineRule="exact"/>
        <w:ind w:left="0" w:right="0" w:firstLine="576"/>
        <w:jc w:val="left"/>
      </w:pPr>
      <w:r>
        <w:rPr/>
        <w:t xml:space="preserve">(3) The department of enterprise services may adopt rules to establish criteria for evaluating the need for a waiver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RCW 39.04.155.</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w:t>
      </w:r>
      <w:r>
        <w:rPr>
          <w:u w:val="single"/>
        </w:rPr>
        <w:t xml:space="preserve">"Public building" means any building constructed at the cost of the state or of any municipality.</w:t>
      </w:r>
    </w:p>
    <w:p>
      <w:pPr>
        <w:spacing w:before="0" w:after="0" w:line="408" w:lineRule="exact"/>
        <w:ind w:left="0" w:right="0" w:firstLine="576"/>
        <w:jc w:val="left"/>
      </w:pPr>
      <w:r>
        <w:rPr>
          <w:u w:val="single"/>
        </w:rPr>
        <w:t xml:space="preserve">(5)</w:t>
      </w:r>
      <w:r>
        <w:rPr/>
        <w:t xml:space="preserve">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"Responsible bidder" means a contractor who meets the criteria in RCW 39.04.350.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"State" means the state of Washington and all departments, supervisors, commissioners, and agencies of the state.</w:t>
      </w:r>
    </w:p>
    <w:p/>
    <w:p>
      <w:pPr>
        <w:jc w:val="center"/>
      </w:pPr>
      <w:r>
        <w:rPr>
          <w:b/>
        </w:rPr>
        <w:t>--- END ---</w:t>
      </w:r>
    </w:p>
    <w:sectPr>
      <w:pgNumType w:start="1"/>
      <w:footerReference xmlns:r="http://schemas.openxmlformats.org/officeDocument/2006/relationships" r:id="R6912feff35914b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616aa2df14277" /><Relationship Type="http://schemas.openxmlformats.org/officeDocument/2006/relationships/footer" Target="/word/footer.xml" Id="R6912feff35914bff" /></Relationships>
</file>