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e233e690a4c96" /></Relationships>
</file>

<file path=word/document.xml><?xml version="1.0" encoding="utf-8"?>
<w:document xmlns:w="http://schemas.openxmlformats.org/wordprocessingml/2006/main">
  <w:body>
    <w:p>
      <w:r>
        <w:t>Z-0311.1</w:t>
      </w:r>
    </w:p>
    <w:p>
      <w:pPr>
        <w:jc w:val="center"/>
      </w:pPr>
      <w:r>
        <w:t>_______________________________________________</w:t>
      </w:r>
    </w:p>
    <w:p/>
    <w:p>
      <w:pPr>
        <w:jc w:val="center"/>
      </w:pPr>
      <w:r>
        <w:rPr>
          <w:b/>
        </w:rPr>
        <w:t>SENATE BILL 5398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Hunt, and Zeiger; by request of Secretary of State</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 of precinct and district boundary lines; amending RCW 44.05.100 and 29A.16.050; and reenacting and amending RCW 29A.16.040.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t xml:space="preserve">The county </w:t>
      </w:r>
      <w:r>
        <w:t>((</w:t>
      </w:r>
      <w:r>
        <w:rPr>
          <w:strike/>
        </w:rPr>
        <w:t xml:space="preserve">legislative authority</w:t>
      </w:r>
      <w:r>
        <w:t>))</w:t>
      </w:r>
      <w:r>
        <w:rPr/>
        <w:t xml:space="preserve"> </w:t>
      </w:r>
      <w:r>
        <w:rPr>
          <w:u w:val="single"/>
        </w:rPr>
        <w:t xml:space="preserve">auditor</w:t>
      </w:r>
      <w:r>
        <w:rPr/>
        <w:t xml:space="preserve"> of each county in the state shall divide the county into election precincts and establish the boundaries of the precincts.</w:t>
      </w:r>
    </w:p>
    <w:p>
      <w:pPr>
        <w:spacing w:before="0" w:after="0" w:line="408" w:lineRule="exact"/>
        <w:ind w:left="0" w:right="0" w:firstLine="576"/>
        <w:jc w:val="left"/>
      </w:pPr>
      <w:r>
        <w:rPr/>
        <w:t xml:space="preserve">(1) Precinct boundaries may be altered at any time as long as sufficient time exists prior to a given election for the necessary procedural steps to be honored. Except as permitted under subsection (3)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rPr/>
        <w:t xml:space="preserve">(2) The </w:t>
      </w:r>
      <w:r>
        <w:t>((</w:t>
      </w:r>
      <w:r>
        <w:rPr>
          <w:strike/>
        </w:rPr>
        <w:t xml:space="preserve">county legislative authority may establish by ordinance a limitation on the</w:t>
      </w:r>
      <w:r>
        <w:t>))</w:t>
      </w:r>
      <w:r>
        <w:rPr/>
        <w:t xml:space="preserve"> maximum number of active registered voters in each precinct </w:t>
      </w:r>
      <w:r>
        <w:t>((</w:t>
      </w:r>
      <w:r>
        <w:rPr>
          <w:strike/>
        </w:rPr>
        <w:t xml:space="preserve">within its jurisdiction. The number may be less than the number established by law, but in no case may the number exceed</w:t>
      </w:r>
      <w:r>
        <w:t>))</w:t>
      </w:r>
      <w:r>
        <w:rPr/>
        <w:t xml:space="preserve"> </w:t>
      </w:r>
      <w:r>
        <w:rPr>
          <w:u w:val="single"/>
        </w:rPr>
        <w:t xml:space="preserve">is</w:t>
      </w:r>
      <w:r>
        <w:rPr/>
        <w:t xml:space="preserve"> one thousand five hundred active registered voters.</w:t>
      </w:r>
    </w:p>
    <w:p>
      <w:pPr>
        <w:spacing w:before="0" w:after="0" w:line="408" w:lineRule="exact"/>
        <w:ind w:left="0" w:right="0" w:firstLine="576"/>
        <w:jc w:val="left"/>
      </w:pPr>
      <w:r>
        <w:rPr/>
        <w:t xml:space="preserve">(3)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w:t>
      </w:r>
      <w:r>
        <w:rPr>
          <w:u w:val="single"/>
        </w:rPr>
        <w:t xml:space="preserve">formally</w:t>
      </w:r>
      <w:r>
        <w:rPr/>
        <w:t xml:space="preserve"> adopted by the county </w:t>
      </w:r>
      <w:r>
        <w:t>((</w:t>
      </w:r>
      <w:r>
        <w:rPr>
          <w:strike/>
        </w:rPr>
        <w:t xml:space="preserve">legislative authority</w:t>
      </w:r>
      <w:r>
        <w:t>))</w:t>
      </w:r>
      <w:r>
        <w:rPr/>
        <w:t xml:space="preserve"> </w:t>
      </w:r>
      <w:r>
        <w:rPr>
          <w:u w:val="single"/>
        </w:rPr>
        <w:t xml:space="preserve">auditor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w:t>
      </w:r>
      <w:r>
        <w:t>((</w:t>
      </w:r>
      <w:r>
        <w:rPr>
          <w:strike/>
        </w:rPr>
        <w:t xml:space="preserve">January 1st</w:t>
      </w:r>
      <w:r>
        <w:t>))</w:t>
      </w:r>
      <w:r>
        <w:rPr/>
        <w:t xml:space="preserve"> </w:t>
      </w:r>
      <w:r>
        <w:rPr>
          <w:u w:val="single"/>
        </w:rPr>
        <w:t xml:space="preserve">November 20th</w:t>
      </w:r>
      <w:r>
        <w:rPr/>
        <w:t xml:space="preserve"> of the year ending in </w:t>
      </w:r>
      <w:r>
        <w:t>((</w:t>
      </w:r>
      <w:r>
        <w:rPr>
          <w:strike/>
        </w:rPr>
        <w:t xml:space="preserve">two</w:t>
      </w:r>
      <w:r>
        <w:t>))</w:t>
      </w:r>
      <w:r>
        <w:rPr/>
        <w:t xml:space="preserve"> </w:t>
      </w:r>
      <w:r>
        <w:rPr>
          <w:u w:val="single"/>
        </w:rPr>
        <w:t xml:space="preserve">one</w:t>
      </w:r>
      <w:r>
        <w:rPr/>
        <w:t xml:space="preserve">,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w:t>
      </w:r>
      <w:r>
        <w:t>((</w:t>
      </w:r>
      <w:r>
        <w:rPr>
          <w:strike/>
        </w:rPr>
        <w:t xml:space="preserve">March</w:t>
      </w:r>
      <w:r>
        <w:t>))</w:t>
      </w:r>
      <w:r>
        <w:rPr/>
        <w:t xml:space="preserve"> </w:t>
      </w:r>
      <w:r>
        <w:rPr>
          <w:u w:val="single"/>
        </w:rPr>
        <w:t xml:space="preserve">February</w:t>
      </w:r>
      <w:r>
        <w:rPr/>
        <w:t xml:space="preserve"> 1st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050</w:t>
      </w:r>
      <w:r>
        <w:rPr/>
        <w:t xml:space="preserve"> and 2003 c 111 s 405 are each amended to read as follows:</w:t>
      </w:r>
    </w:p>
    <w:p>
      <w:pPr>
        <w:spacing w:before="0" w:after="0" w:line="408" w:lineRule="exact"/>
        <w:ind w:left="0" w:right="0" w:firstLine="576"/>
        <w:jc w:val="left"/>
      </w:pPr>
      <w:r>
        <w:rPr/>
        <w:t xml:space="preserve">(1) Every voting precinct must be wholly within a single congressional district, a single legislative district, a single district of a county legislative authority</w:t>
      </w:r>
      <w:r>
        <w:t>((</w:t>
      </w:r>
      <w:r>
        <w:rPr>
          <w:strike/>
        </w:rPr>
        <w:t xml:space="preserve">, and, if applicable, a single city</w:t>
      </w:r>
      <w:r>
        <w:t>))</w:t>
      </w:r>
      <w:r>
        <w:rPr/>
        <w:t xml:space="preserve">. </w:t>
      </w:r>
      <w:r>
        <w:rPr>
          <w:u w:val="single"/>
        </w:rPr>
        <w:t xml:space="preserve">Every voting precinct must be either wholly outside of any city or town, or wholly within a single city or town and, where applicable, a single council district or ward of that city or town.</w:t>
      </w:r>
    </w:p>
    <w:p>
      <w:pPr>
        <w:spacing w:before="0" w:after="0" w:line="408" w:lineRule="exact"/>
        <w:ind w:left="0" w:right="0" w:firstLine="576"/>
        <w:jc w:val="left"/>
      </w:pPr>
      <w:r>
        <w:rPr/>
        <w:t xml:space="preserve">(2) Every voting precinct shall be composed, as nearly as practicable, of contiguous and compact areas. </w:t>
      </w:r>
      <w:r>
        <w:rPr>
          <w:u w:val="single"/>
        </w:rPr>
        <w:t xml:space="preserve">Subject to the restrictions on precinct boundaries in subsection (1) of this section and the maximum registered voter count established in RCW 29A.16.040(2), (a) an unincorporated area entirely surrounded by one or more cities or towns, or an unincorporated area lying between the boundaries of one or more cities or towns and the boundary of a county, congressional district, legislative district, or county legislative authority district, may be included in a single precinct with other such areas or with nearby unincorporated territory, and (b) incorporated areas that are not contiguous with the remainder of the city or town of which they are a part may be included in the geographically nearest precinct belonging to that city or town.</w:t>
      </w:r>
    </w:p>
    <w:p>
      <w:pPr>
        <w:spacing w:before="0" w:after="0" w:line="408" w:lineRule="exact"/>
        <w:ind w:left="0" w:right="0" w:firstLine="576"/>
        <w:jc w:val="left"/>
      </w:pPr>
      <w:r>
        <w:rPr/>
        <w:t xml:space="preserve">(3) </w:t>
      </w:r>
      <w:r>
        <w:t>((</w:t>
      </w:r>
      <w:r>
        <w:rPr>
          <w:strike/>
        </w:rPr>
        <w:t xml:space="preserve">Except as provided in this subsection, changes to the boundaries of any</w:t>
      </w:r>
      <w:r>
        <w:t>))</w:t>
      </w:r>
      <w:r>
        <w:rPr/>
        <w:t xml:space="preserve"> </w:t>
      </w:r>
      <w:r>
        <w:rPr>
          <w:u w:val="single"/>
        </w:rPr>
        <w:t xml:space="preserve">P</w:t>
      </w:r>
      <w:r>
        <w:rPr/>
        <w:t xml:space="preserve">recinct </w:t>
      </w:r>
      <w:r>
        <w:t>((</w:t>
      </w:r>
      <w:r>
        <w:rPr>
          <w:strike/>
        </w:rPr>
        <w:t xml:space="preserve">shall</w:t>
      </w:r>
      <w:r>
        <w:t>))</w:t>
      </w:r>
      <w:r>
        <w:rPr/>
        <w:t xml:space="preserve"> </w:t>
      </w:r>
      <w:r>
        <w:rPr>
          <w:u w:val="single"/>
        </w:rPr>
        <w:t xml:space="preserve">boundaries must preferentially</w:t>
      </w:r>
      <w:r>
        <w:rPr/>
        <w:t xml:space="preserve"> follow </w:t>
      </w:r>
      <w:r>
        <w:rPr>
          <w:u w:val="single"/>
        </w:rPr>
        <w:t xml:space="preserve">local jurisdictional and electoral district boundaries and</w:t>
      </w:r>
      <w:r>
        <w:rPr/>
        <w:t xml:space="preserve"> visible, physical features </w:t>
      </w:r>
      <w:r>
        <w:t>((</w:t>
      </w:r>
      <w:r>
        <w:rPr>
          <w:strike/>
        </w:rPr>
        <w:t xml:space="preserve">delineated on the most current maps provided by the United States census bureau. A change need not follow such visible, physical features if (a) it is necessitated by an annexation or incorporation and the proposed precinct boundary is identical to an exterior boundary of the annexed or incorporated area which does not follow a visible, physical feature; or (b) doing so would substantially impair election administration in the involved area</w:t>
      </w:r>
      <w:r>
        <w:t>))</w:t>
      </w:r>
      <w:r>
        <w:rPr/>
        <w:t xml:space="preserve">.</w:t>
      </w:r>
    </w:p>
    <w:p>
      <w:pPr>
        <w:spacing w:before="0" w:after="0" w:line="408" w:lineRule="exact"/>
        <w:ind w:left="0" w:right="0" w:firstLine="576"/>
        <w:jc w:val="left"/>
      </w:pPr>
      <w:r>
        <w:rPr/>
        <w:t xml:space="preserve">(4) </w:t>
      </w:r>
      <w:r>
        <w:t>((</w:t>
      </w:r>
      <w:r>
        <w:rPr>
          <w:strike/>
        </w:rPr>
        <w:t xml:space="preserve">After a change to precinct boundaries is adopted by the county legislative authority, if the change does not follow visible physical features, the county auditor shall send to the secretary of state an electronic or paper copy of the description, a map or maps of the changes, and a statement of the applicable exception under subsection (3) of this section. For boundary changes made pursuant to subsection (3)(b) of this section, the auditor shall include a statement of the reasons why following visible, physical features would have substantially impaired election administration.</w:t>
      </w:r>
    </w:p>
    <w:p>
      <w:pPr>
        <w:spacing w:before="0" w:after="0" w:line="408" w:lineRule="exact"/>
        <w:ind w:left="0" w:right="0" w:firstLine="576"/>
        <w:jc w:val="left"/>
      </w:pPr>
      <w:r>
        <w:rPr>
          <w:strike/>
        </w:rPr>
        <w:t xml:space="preserve">(5)</w:t>
      </w:r>
      <w:r>
        <w:t>))</w:t>
      </w:r>
      <w:r>
        <w:rPr/>
        <w:t xml:space="preserve"> Every voting precinct within each county shall be designated by number for the purpose of preparation of maps and the tabulation of population for apportionment purposes. These precincts may be identified with names or other numbers for other election purposes.</w:t>
      </w:r>
    </w:p>
    <w:p>
      <w:pPr>
        <w:spacing w:before="0" w:after="0" w:line="408" w:lineRule="exact"/>
        <w:ind w:left="0" w:right="0" w:firstLine="576"/>
        <w:jc w:val="left"/>
      </w:pPr>
      <w:r>
        <w:t>((</w:t>
      </w:r>
      <w:r>
        <w:rPr>
          <w:strike/>
        </w:rPr>
        <w:t xml:space="preserve">(6) After a change to precinct boundaries in a city or town, the county auditor shall send one copy of the map or maps delineating the new precinct boundaries within that city or town to the city or town clerk.</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Precinct maps are public records and shall be available for inspection by the public during normal office hours in the offices where they are kept. Copies shall be made available to the public for a fee necessary to cover the cost of reproduction.</w:t>
      </w:r>
    </w:p>
    <w:p/>
    <w:p>
      <w:pPr>
        <w:jc w:val="center"/>
      </w:pPr>
      <w:r>
        <w:rPr>
          <w:b/>
        </w:rPr>
        <w:t>--- END ---</w:t>
      </w:r>
    </w:p>
    <w:sectPr>
      <w:pgNumType w:start="1"/>
      <w:footerReference xmlns:r="http://schemas.openxmlformats.org/officeDocument/2006/relationships" r:id="R2679370c3a9246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876d487904c4a" /><Relationship Type="http://schemas.openxmlformats.org/officeDocument/2006/relationships/footer" Target="/word/footer.xml" Id="R2679370c3a9246f5" /></Relationships>
</file>