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ea32d35643b3" /></Relationships>
</file>

<file path=word/document.xml><?xml version="1.0" encoding="utf-8"?>
<w:document xmlns:w="http://schemas.openxmlformats.org/wordprocessingml/2006/main">
  <w:body>
    <w:p>
      <w:r>
        <w:t>S-1187.1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5408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Financial Institutions &amp; Insurance (originally sponsored by Senators Cleveland, Miloscia, Kuderer, Saldaña, Frockt, Pedersen, Darneille, and Keiser)</w:t>
      </w:r>
    </w:p>
    <w:p/>
    <w:p>
      <w:r>
        <w:rPr>
          <w:t xml:space="preserve">READ FIRST TIME 02/06/17.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notice of termination for tenancies under the residential landlord-tenant act; and amending RCW 59.18.200.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59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200</w:t>
      </w:r>
      <w:r>
        <w:rPr/>
        <w:t xml:space="preserve"> and 2008 c 113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When premises are rented for an indefinite time, with monthly or other periodic rent reserved, such tenancy shall be construed to be a tenancy from month to month, or from period to period on which rent is payable, and shall be terminated by written notice of </w:t>
      </w:r>
      <w:r>
        <w:t>((</w:t>
      </w:r>
      <w:r>
        <w:rPr>
          <w:strike/>
        </w:rPr>
        <w:t xml:space="preserve">twenty</w:t>
      </w:r>
      <w:r>
        <w:t>))</w:t>
      </w:r>
      <w:r>
        <w:rPr/>
        <w:t xml:space="preserve"> </w:t>
      </w:r>
      <w:r>
        <w:rPr>
          <w:u w:val="single"/>
        </w:rPr>
        <w:t xml:space="preserve">thirty</w:t>
      </w:r>
      <w:r>
        <w:rPr/>
        <w:t xml:space="preserve"> days or more, preceding the end of any of the months or periods of tenancy, given by either party to the other.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 tenant who is a member of the armed forces, including the national guard and armed forces reserves, or that tenant's spouse or dependant, may terminate a rental agreement with less than </w:t>
      </w:r>
      <w:r>
        <w:t>((</w:t>
      </w:r>
      <w:r>
        <w:rPr>
          <w:strike/>
        </w:rPr>
        <w:t xml:space="preserve">twenty</w:t>
      </w:r>
      <w:r>
        <w:t>))</w:t>
      </w:r>
      <w:r>
        <w:rPr/>
        <w:t xml:space="preserve"> </w:t>
      </w:r>
      <w:r>
        <w:rPr>
          <w:u w:val="single"/>
        </w:rPr>
        <w:t xml:space="preserve">thirty</w:t>
      </w:r>
      <w:r>
        <w:rPr/>
        <w:t xml:space="preserve"> days' notice if the tenant receives reassignment or deployment orders that do not allow a </w:t>
      </w:r>
      <w:r>
        <w:t>((</w:t>
      </w:r>
      <w:r>
        <w:rPr>
          <w:strike/>
        </w:rPr>
        <w:t xml:space="preserve">twenty-day</w:t>
      </w:r>
      <w:r>
        <w:t>))</w:t>
      </w:r>
      <w:r>
        <w:rPr/>
        <w:t xml:space="preserve"> </w:t>
      </w:r>
      <w:r>
        <w:rPr>
          <w:u w:val="single"/>
        </w:rPr>
        <w:t xml:space="preserve">thirty-day</w:t>
      </w:r>
      <w:r>
        <w:rPr/>
        <w:t xml:space="preserve"> notice.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Whenever a landlord plans to change to a policy of excluding children, the landlord shall give a written notice to a tenant at least ninety days before termination of the tenancy to effectuate such change in policy. Such ninety-day notice shall be in lieu of the notice required by subsection (1) of this section. However, if after giving the ninety-day notice the change in policy is delayed, the notice requirements of subsection (1) of this section shall apply unless waived by the tenant.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Whenever a landlord plans to change any apartment or apartments to a condominium form of ownership, the landlord shall provide a written notice to a tenant at least one hundred twenty days before termination of the tenancy, in compliance with RCW 64.34.440(1), to effectuate such change. The one hundred twenty-day notice is in lieu of the notice required in subsection (1) of this section. However, if after providing the one hundred twenty-day notice the change to a condominium form of ownership is delayed, the notice requirements in subsection (1) of this section apply unless waived by the tenant.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82e2b6ff8664b0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5408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2453edd047de" /><Relationship Type="http://schemas.openxmlformats.org/officeDocument/2006/relationships/footer" Target="/word/footer.xml" Id="R982e2b6ff8664b0e" /></Relationships>
</file>