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68065374b431f" /></Relationships>
</file>

<file path=word/document.xml><?xml version="1.0" encoding="utf-8"?>
<w:document xmlns:w="http://schemas.openxmlformats.org/wordprocessingml/2006/main">
  <w:body>
    <w:p>
      <w:r>
        <w:t>S-0658.1</w:t>
      </w:r>
    </w:p>
    <w:p>
      <w:pPr>
        <w:jc w:val="center"/>
      </w:pPr>
      <w:r>
        <w:t>_______________________________________________</w:t>
      </w:r>
    </w:p>
    <w:p/>
    <w:p>
      <w:pPr>
        <w:jc w:val="center"/>
      </w:pPr>
      <w:r>
        <w:rPr>
          <w:b/>
        </w:rPr>
        <w:t>SENATE BILL 5412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Zeiger, Warnick, and Miloscia</w:t>
      </w:r>
    </w:p>
    <w:p/>
    <w:p>
      <w:r>
        <w:rPr>
          <w:t xml:space="preserve">Read first time 01/24/17.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19.27.035, 19.27.060, 19.27.070, 19.27.074, and 19.27A.020; reenacting and amending RCW 34.05.328; adding a new section to chapter 19.27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035</w:t>
      </w:r>
      <w:r>
        <w:rPr/>
        <w:t xml:space="preserve"> and 1989 c 266 s 6 are each amended to read as follows:</w:t>
      </w:r>
    </w:p>
    <w:p>
      <w:pPr>
        <w:spacing w:before="0" w:after="0" w:line="408" w:lineRule="exact"/>
        <w:ind w:left="0" w:right="0" w:firstLine="576"/>
        <w:jc w:val="left"/>
      </w:pPr>
      <w:r>
        <w:rPr/>
        <w:t xml:space="preserve">The building code council shall</w:t>
      </w:r>
      <w:r>
        <w:t>((</w:t>
      </w:r>
      <w:r>
        <w:rPr>
          <w:strike/>
        </w:rPr>
        <w:t xml:space="preserve">, within one year of July 23, 1989,</w:t>
      </w:r>
      <w:r>
        <w:t>))</w:t>
      </w:r>
      <w:r>
        <w:rPr/>
        <w:t xml:space="preserve"> adopt a </w:t>
      </w:r>
      <w:r>
        <w:rPr>
          <w:u w:val="single"/>
        </w:rPr>
        <w:t xml:space="preserve">revised</w:t>
      </w:r>
      <w:r>
        <w:rPr/>
        <w:t xml:space="preserve"> process for the review of proposed statewide amendments to the codes enumerated in RCW 19.27.031 </w:t>
      </w:r>
      <w:r>
        <w:rPr>
          <w:u w:val="single"/>
        </w:rPr>
        <w:t xml:space="preserve">by July 1, 2018</w:t>
      </w:r>
      <w:r>
        <w:rPr/>
        <w:t xml:space="preserve">, and proposed or enacted local amendments to the codes enumerated in RCW 19.27.031 as amended and adopted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(3)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(4)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(5)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(6)(a)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0" w:after="0" w:line="408" w:lineRule="exact"/>
        <w:ind w:left="0" w:right="0" w:firstLine="576"/>
        <w:jc w:val="left"/>
      </w:pPr>
      <w:r>
        <w:rPr>
          <w:u w:val="single"/>
        </w:rPr>
        <w:t xml:space="preserve">(7) To foster innovation in accordance with RCW 19.27.020(3), the state building code council shall create a procedure for the approval of any material, product, equipment, method of construction, design, or system that has been certified pursuant to the international organization for standardization/international electrotechnical commission standard number 17065.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 </w:t>
      </w:r>
      <w:r>
        <w:rPr>
          <w:u w:val="single"/>
        </w:rPr>
        <w:t xml:space="preserve">and</w:t>
      </w:r>
    </w:p>
    <w:p>
      <w:pPr>
        <w:spacing w:before="0" w:after="0" w:line="408" w:lineRule="exact"/>
        <w:ind w:left="0" w:right="0" w:firstLine="576"/>
        <w:jc w:val="left"/>
      </w:pPr>
      <w:r>
        <w:rPr/>
        <w:t xml:space="preserve">(b) </w:t>
      </w:r>
      <w:r>
        <w:t>((</w:t>
      </w:r>
      <w:r>
        <w:rPr>
          <w:strike/>
        </w:rPr>
        <w:t xml:space="preserve">Employ permanent and temporary staff and contract for services; and</w:t>
      </w:r>
    </w:p>
    <w:p>
      <w:pPr>
        <w:spacing w:before="0" w:after="0" w:line="408" w:lineRule="exact"/>
        <w:ind w:left="0" w:right="0" w:firstLine="576"/>
        <w:jc w:val="left"/>
      </w:pPr>
      <w:r>
        <w:rPr>
          <w:strike/>
        </w:rPr>
        <w:t xml:space="preserve">(c)</w:t>
      </w:r>
      <w:r>
        <w:t>))</w:t>
      </w:r>
      <w:r>
        <w:rPr/>
        <w:t xml:space="preserve">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building code council in consultation with the office of the chief information officer shall assess the costs and benefits of the potential acquisition and implementation of open public access information technologies to enhance the council's code adoption process and report back to the appropriate committees of the legislature by November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the following eight members:</w:t>
      </w:r>
    </w:p>
    <w:p>
      <w:pPr>
        <w:spacing w:before="0" w:after="0" w:line="408" w:lineRule="exact"/>
        <w:ind w:left="0" w:right="0" w:firstLine="576"/>
        <w:jc w:val="left"/>
      </w:pPr>
      <w:r>
        <w:rPr/>
        <w:t xml:space="preserve">(A) Two current members of the building code council representing the private sector;</w:t>
      </w:r>
    </w:p>
    <w:p>
      <w:pPr>
        <w:spacing w:before="0" w:after="0" w:line="408" w:lineRule="exact"/>
        <w:ind w:left="0" w:right="0" w:firstLine="576"/>
        <w:jc w:val="left"/>
      </w:pPr>
      <w:r>
        <w:rPr/>
        <w:t xml:space="preserve">(B) One current member of the building code council representing local government;</w:t>
      </w:r>
    </w:p>
    <w:p>
      <w:pPr>
        <w:spacing w:before="0" w:after="0" w:line="408" w:lineRule="exact"/>
        <w:ind w:left="0" w:right="0" w:firstLine="576"/>
        <w:jc w:val="left"/>
      </w:pPr>
      <w:r>
        <w:rPr/>
        <w:t xml:space="preserve">(C) One current member of the building code council representing labor interests; and</w:t>
      </w:r>
    </w:p>
    <w:p>
      <w:pPr>
        <w:spacing w:before="0" w:after="0" w:line="408" w:lineRule="exact"/>
        <w:ind w:left="0" w:right="0" w:firstLine="576"/>
        <w:jc w:val="left"/>
      </w:pPr>
      <w:r>
        <w:rPr/>
        <w:t xml:space="preserve">(D) Four members who regularly work with the council, each representing one of the following: Local government, private sector interests, labor interests, and environmental interests.</w:t>
      </w:r>
    </w:p>
    <w:p>
      <w:pPr>
        <w:spacing w:before="0" w:after="0" w:line="408" w:lineRule="exact"/>
        <w:ind w:left="0" w:right="0" w:firstLine="576"/>
        <w:jc w:val="left"/>
      </w:pPr>
      <w:r>
        <w:rPr/>
        <w:t xml:space="preserve">(iv) The director of the department of enterprise services shall appoint one member from the department of enterprise services and one member from the department of commerce energy program.</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on the following issues:</w:t>
      </w:r>
    </w:p>
    <w:p>
      <w:pPr>
        <w:spacing w:before="0" w:after="0" w:line="408" w:lineRule="exact"/>
        <w:ind w:left="0" w:right="0" w:firstLine="576"/>
        <w:jc w:val="left"/>
      </w:pPr>
      <w:r>
        <w:rPr/>
        <w:t xml:space="preserve">(a) The current structure, operations, and resources of the council;</w:t>
      </w:r>
    </w:p>
    <w:p>
      <w:pPr>
        <w:spacing w:before="0" w:after="0" w:line="408" w:lineRule="exact"/>
        <w:ind w:left="0" w:right="0" w:firstLine="576"/>
        <w:jc w:val="left"/>
      </w:pPr>
      <w:r>
        <w:rPr/>
        <w:t xml:space="preserve">(b) The building code development process and length, including the policy and procedure, technical, and economic aspects including the public and private construction costs of review and adoption of the state building code;</w:t>
      </w:r>
    </w:p>
    <w:p>
      <w:pPr>
        <w:spacing w:before="0" w:after="0" w:line="408" w:lineRule="exact"/>
        <w:ind w:left="0" w:right="0" w:firstLine="576"/>
        <w:jc w:val="left"/>
      </w:pPr>
      <w:r>
        <w:rPr/>
        <w:t xml:space="preserve">(c) Total resources necessary for an effective state building code development process, including staffing and needs;</w:t>
      </w:r>
    </w:p>
    <w:p>
      <w:pPr>
        <w:spacing w:before="0" w:after="0" w:line="408" w:lineRule="exact"/>
        <w:ind w:left="0" w:right="0" w:firstLine="576"/>
        <w:jc w:val="left"/>
      </w:pPr>
      <w:r>
        <w:rPr/>
        <w:t xml:space="preserve">(d) Options for long-term, reliable funding of the council;</w:t>
      </w:r>
    </w:p>
    <w:p>
      <w:pPr>
        <w:spacing w:before="0" w:after="0" w:line="408" w:lineRule="exact"/>
        <w:ind w:left="0" w:right="0" w:firstLine="576"/>
        <w:jc w:val="left"/>
      </w:pPr>
      <w:r>
        <w:rPr/>
        <w:t xml:space="preserve">(e) The powers, duties, and support services of the department of enterprise services relevant to the council;</w:t>
      </w:r>
    </w:p>
    <w:p>
      <w:pPr>
        <w:spacing w:before="0" w:after="0" w:line="408" w:lineRule="exact"/>
        <w:ind w:left="0" w:right="0" w:firstLine="576"/>
        <w:jc w:val="left"/>
      </w:pPr>
      <w:r>
        <w:rPr/>
        <w:t xml:space="preserve">(f) Council membership, composition, and size; and</w:t>
      </w:r>
    </w:p>
    <w:p>
      <w:pPr>
        <w:spacing w:before="0" w:after="0" w:line="408" w:lineRule="exact"/>
        <w:ind w:left="0" w:right="0" w:firstLine="576"/>
        <w:jc w:val="left"/>
      </w:pPr>
      <w:r>
        <w:rPr/>
        <w:t xml:space="preserve">(g) The council's compliance with current statutes and requirements.</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October 1, 2018.</w:t>
      </w:r>
    </w:p>
    <w:p>
      <w:pPr>
        <w:spacing w:before="0" w:after="0" w:line="408" w:lineRule="exact"/>
        <w:ind w:left="0" w:right="0" w:firstLine="576"/>
        <w:jc w:val="left"/>
      </w:pPr>
      <w:r>
        <w:rPr/>
        <w:t xml:space="preserve">(7) This section expires October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w:t>
      </w:r>
      <w:r>
        <w:rPr>
          <w:u w:val="single"/>
        </w:rPr>
        <w:t xml:space="preserve">(i)</w:t>
      </w:r>
      <w:r>
        <w:rPr/>
        <w:t xml:space="preserve">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u w:val="single"/>
        </w:rPr>
        <w:t xml:space="preserve">(ii) The state building code council shall create a procedure for the approval of any material, product, equipment, method of construction, design, or system that has been certified pursuant to the international organization for standardization/international electrotechnical commission standard number 17065.</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w:t>
      </w:r>
      <w:r>
        <w:rPr>
          <w:u w:val="single"/>
        </w:rPr>
        <w:t xml:space="preserve">the state building code council,</w:t>
      </w:r>
      <w:r>
        <w:rPr/>
        <w:t xml:space="preserve">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u w:val="single"/>
        </w:rPr>
        <w:t xml:space="preserve">(iv) "National consensus codes that generally establish industry standards" include, but are not limited to, the building codes published by the International Code Council, Inc. as cited in RCW 19.27.031 and 19.27.020. However, the exemption only applies to building codes published by the International Code Council, Inc. if the state building code council does not make any modifications to the published code.</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
      <w:pPr>
        <w:jc w:val="center"/>
      </w:pPr>
      <w:r>
        <w:rPr>
          <w:b/>
        </w:rPr>
        <w:t>--- END ---</w:t>
      </w:r>
    </w:p>
    <w:sectPr>
      <w:pgNumType w:start="1"/>
      <w:footerReference xmlns:r="http://schemas.openxmlformats.org/officeDocument/2006/relationships" r:id="Rb05fc9cbc3994c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3e62b9ae14a97" /><Relationship Type="http://schemas.openxmlformats.org/officeDocument/2006/relationships/footer" Target="/word/footer.xml" Id="Rb05fc9cbc3994c86" /></Relationships>
</file>