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b6585a4334fe3" /></Relationships>
</file>

<file path=word/document.xml><?xml version="1.0" encoding="utf-8"?>
<w:document xmlns:w="http://schemas.openxmlformats.org/wordprocessingml/2006/main">
  <w:body>
    <w:p>
      <w:r>
        <w:t>S-0726.1</w:t>
      </w:r>
    </w:p>
    <w:p>
      <w:pPr>
        <w:jc w:val="center"/>
      </w:pPr>
      <w:r>
        <w:t>_______________________________________________</w:t>
      </w:r>
    </w:p>
    <w:p/>
    <w:p>
      <w:pPr>
        <w:jc w:val="center"/>
      </w:pPr>
      <w:r>
        <w:rPr>
          <w:b/>
        </w:rPr>
        <w:t>SENATE BILL 5419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and Saldaña</w:t>
      </w:r>
    </w:p>
    <w:p/>
    <w:p>
      <w:r>
        <w:rPr>
          <w:t xml:space="preserve">Read first time 01/24/17.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paint stewardship; amending RCW 43.21B.110 and 43.21B.110; reenacting and amending RCW 42.56.270; adding a new section to chapter 82.04 RCW;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and aerosol containers may rupture, releasing fumes hazardous to workers and the remaining liquids may contribute to leachate problems in landfills. Many local governments provide collection sites or events for latex paint in order to provide their residents with at least some disposal options and to keep latex paint out of the solid waste stream. But residents and small businesses need more convenient options for disposal of architectural paint. Drying latex for disposal is difficult for many residents and wastes latex paint that can otherwise be reused or recycled. Local government special and moderate-risk waste collection programs are heavily impacted by the cost of managing unwanted architectural paints and these costs decrease the available funds to address other hazardous and hard to handle materials.</w:t>
      </w:r>
    </w:p>
    <w:p>
      <w:pPr>
        <w:spacing w:before="0" w:after="0" w:line="408" w:lineRule="exact"/>
        <w:ind w:left="0" w:right="0" w:firstLine="576"/>
        <w:jc w:val="left"/>
      </w:pPr>
      <w:r>
        <w:rPr/>
        <w:t xml:space="preserve">(2) An estimated average of ten percent of architectural paint purchased becomes leftover paint nationally.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spacing w:before="0" w:after="0" w:line="408" w:lineRule="exact"/>
        <w:ind w:left="0" w:right="0" w:firstLine="576"/>
        <w:jc w:val="left"/>
      </w:pPr>
      <w:r>
        <w:rPr/>
        <w:t xml:space="preserve">(3) It is in the best interest of Washington for paint manufacturers to assume responsibility for development and implementation of a cost-effective paint stewardship program that will: Develop and implement strategies to reduce the generation of leftover paint; promote the reuse of leftover paint; and collect, transport, and process leftover paint for end-of-life management, including reuse, recycling, energy recovery, and disposal. A paint stewardship program will follow the paint waste management hierarchy for managing and reducing leftover paint in the order as follows: Reduce consumer generation of leftover paint; reuse; recycle; and provide for energy recovery and disposal. Requiring paint manufacturers to assume responsibility for the collection, recycling, reuse, transportation, and disposal of leftover paint will provide more opportunities for consumers to properly manage their leftover paint, provide fiscal relief for local government in managing leftover paint, keep paint out of the waste stream, and conserve natural resources.</w:t>
      </w:r>
    </w:p>
    <w:p>
      <w:pPr>
        <w:spacing w:before="0" w:after="0" w:line="408" w:lineRule="exact"/>
        <w:ind w:left="0" w:right="0" w:firstLine="576"/>
        <w:jc w:val="left"/>
      </w:pPr>
      <w:r>
        <w:rPr/>
        <w:t xml:space="preserve">(4) The legislature further finds that the existing waste collection, recycling, and disposal system leads the nation in innovation and </w:t>
      </w:r>
      <w:r>
        <w:rPr/>
        <w:t xml:space="preserve">environmentally sound practices. This system has achieved some of the highest overall recycling rates in the nation at fifty-one percent in 2012. The legislature further finds that leftover paint is a toxic and hard to handle waste product that is appropriate for a product stewardship program to increase the safe, convenient, and effective reuse, recycling, and disposal of leftover paint. Product stewardship programs for toxic and hard to handle materials, including an architectural paint stewardship program, should integrate with and complement the existing waste collection, recycling, and disposal system.</w:t>
      </w:r>
    </w:p>
    <w:p>
      <w:pPr>
        <w:spacing w:before="0" w:after="0" w:line="408" w:lineRule="exact"/>
        <w:ind w:left="0" w:right="0" w:firstLine="576"/>
        <w:jc w:val="left"/>
      </w:pPr>
      <w:r>
        <w:rPr/>
        <w:t xml:space="preserve">(5) This chapter creates an architectural paint recovery program to be enforced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"Architectural paint" or "paint" means interior and exterior architectural coatings, sold in a container of five gallons or less. "Architectural paint" or "paint" does not mean industrial, original equipment,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means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w:t>
      </w:r>
    </w:p>
    <w:p>
      <w:pPr>
        <w:spacing w:before="0" w:after="0" w:line="408" w:lineRule="exact"/>
        <w:ind w:left="0" w:right="0" w:firstLine="576"/>
        <w:jc w:val="left"/>
      </w:pPr>
      <w:r>
        <w:rPr/>
        <w:t xml:space="preserve">(a) Any household;</w:t>
      </w:r>
    </w:p>
    <w:p>
      <w:pPr>
        <w:spacing w:before="0" w:after="0" w:line="408" w:lineRule="exact"/>
        <w:ind w:left="0" w:right="0" w:firstLine="576"/>
        <w:jc w:val="left"/>
      </w:pPr>
      <w:r>
        <w:rPr/>
        <w:t xml:space="preserve">(b) Any conditionally exempt small quantity generator of oil-based and latex architectural paint; or</w:t>
      </w:r>
    </w:p>
    <w:p>
      <w:pPr>
        <w:spacing w:before="0" w:after="0" w:line="408" w:lineRule="exact"/>
        <w:ind w:left="0" w:right="0" w:firstLine="576"/>
        <w:jc w:val="left"/>
      </w:pPr>
      <w:r>
        <w:rPr/>
        <w:t xml:space="preserve">(c) Any generator of dangerous waste as defined in RCW 70.105.010 that brings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covered paint from residential sources, such as single-family households and multifamily housing, or other covered entities in quantities generated from households or small businesses.</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compliance with all applicable laws and rules to protect workers, public health, and the environment, and also addresses such issues as safe and environmentally sound management of architectural paint from collection through final disposition, adequate recordkeeping, tracking and documenting the fate of materials within the state and beyond, and adequate environmental liability coverage for the stewardship organization and for contracted service providers to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hazardous waste management, solely because the waste is generated by households. Household hazardous waste may also include other solid waste identified in the local hazardous waste management plan prepared pursuant to chapter 70.105 RCW.</w:t>
      </w:r>
    </w:p>
    <w:p>
      <w:pPr>
        <w:spacing w:before="0" w:after="0" w:line="408" w:lineRule="exact"/>
        <w:ind w:left="0" w:right="0" w:firstLine="576"/>
        <w:jc w:val="left"/>
      </w:pPr>
      <w:r>
        <w:rPr/>
        <w:t xml:space="preserve">(15) "Leftover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means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"Population center" means urbanized areas or urban clusters as defined by the United States census bureau to identify areas of high population density and urban land use with populations of two thousand five hundred or greater.</w:t>
      </w:r>
    </w:p>
    <w:p>
      <w:pPr>
        <w:spacing w:before="0" w:after="0" w:line="408" w:lineRule="exact"/>
        <w:ind w:left="0" w:right="0" w:firstLine="576"/>
        <w:jc w:val="left"/>
      </w:pPr>
      <w:r>
        <w:rPr/>
        <w:t xml:space="preserve">(20)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(21) "Recycling" means transforming or remanufacturing waste materials into usable or marketable materials for use other than landfill disposal, energy recovery, or incineration. Recycling does not include collection, compacting, repackaging, and sorting for the purpose of transport.</w:t>
      </w:r>
    </w:p>
    <w:p>
      <w:pPr>
        <w:spacing w:before="0" w:after="0" w:line="408" w:lineRule="exact"/>
        <w:ind w:left="0" w:right="0" w:firstLine="576"/>
        <w:jc w:val="left"/>
      </w:pPr>
      <w:r>
        <w:rPr/>
        <w:t xml:space="preserve">(22)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(23)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(24) "Stewardship organization" means a nonprofit organization created by a producer or group of producers to implement a paint stewardship program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spacing w:before="0" w:after="0" w:line="408" w:lineRule="exact"/>
        <w:ind w:left="0" w:right="0" w:firstLine="576"/>
        <w:jc w:val="left"/>
      </w:pPr>
      <w:r>
        <w:rPr/>
        <w:t xml:space="preserve">(2) Producers not participating in a stewardship plan may not sell architectural paint in or into Washington state.</w:t>
      </w:r>
    </w:p>
    <w:p>
      <w:pPr>
        <w:spacing w:before="0" w:after="0" w:line="408" w:lineRule="exact"/>
        <w:ind w:left="0" w:right="0" w:firstLine="576"/>
        <w:jc w:val="left"/>
      </w:pPr>
      <w:r>
        <w:rPr/>
        <w:t xml:space="preserve">(3) Paint retailers are prohibited from selling architectural paint manufactured or distributed by a producer not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January 15, 2018.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retailer has negotiated a voluntary agreement with the producer and stewardship organization to remit the paint stewardship assessment directly to the stewardship organization on behalf of the producer for the producer's architectural paint sold by the distributor or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and each Washington paint retailer or distributor shall add the assessment to the purchase price of all architectural paint sold in this state, unless the distributor or retailer has negotiated a voluntary agreement with the producer and stewardship organization to remit the paint stewardship assessment directly to the stewardship organization on behalf of the producer for the producer's architectural paint sold by the distributor or retailer in the state. Manufacturers may not require retailers to opt to participate in a voluntary remittance agreement. No fee may be charged at the time of delivery to a drop-off or take back center.</w:t>
      </w:r>
    </w:p>
    <w:p>
      <w:pPr>
        <w:spacing w:before="0" w:after="0" w:line="408" w:lineRule="exact"/>
        <w:ind w:left="0" w:right="0" w:firstLine="576"/>
        <w:jc w:val="left"/>
      </w:pPr>
      <w:r>
        <w:rPr/>
        <w:t xml:space="preserve">(d) To ensure that the funding mechanism is equitable and sustainable, the plan must establish a uniform architectural paint stewardship assessment for all architectural paint sold in this state. The architectural paint stewardship assessment must be sufficient to recover, but not exceed, the costs of the architectural paint stewardship program. The plan must require any surplus funds generated from the funding mechanism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The proposed architectural paint stewardship assessment must be reviewed by an independent auditor to ensure that such an assessment is consistent with the budget of the paint stewardship program and the independent auditor shall recommend an amount for the architectural paint stewardship assessment to the department. The department is responsible for the approval of the architectural paint stewardship assessment based on the information provided in the plan and in the auditor's report.</w:t>
      </w:r>
    </w:p>
    <w:p>
      <w:pPr>
        <w:spacing w:before="0" w:after="0" w:line="408" w:lineRule="exact"/>
        <w:ind w:left="0" w:right="0" w:firstLine="576"/>
        <w:jc w:val="left"/>
      </w:pPr>
      <w:r>
        <w:rPr/>
        <w:t xml:space="preserve">(f) A description of goals as practical to reduce the generation of leftover paint, to promote the reuse and recycling of leftover paint, for the overall collection of leftover paint, and for the proper end-of-life management of leftover paint. The goal for overall collection of leftover paint must be based on current or historical household hazardous waste program information from Washington state. The goals may be revised by a stewardship organization based on the information collected annually.</w:t>
      </w:r>
    </w:p>
    <w:p>
      <w:pPr>
        <w:spacing w:before="0" w:after="0" w:line="408" w:lineRule="exact"/>
        <w:ind w:left="0" w:right="0" w:firstLine="576"/>
        <w:jc w:val="left"/>
      </w:pPr>
      <w:r>
        <w:rPr/>
        <w:t xml:space="preserve">(g) A description of the reasonably convenient and available statewide collection system required under section 5 of this act.</w:t>
      </w:r>
    </w:p>
    <w:p>
      <w:pPr>
        <w:spacing w:before="0" w:after="0" w:line="408" w:lineRule="exact"/>
        <w:ind w:left="0" w:right="0" w:firstLine="576"/>
        <w:jc w:val="left"/>
      </w:pPr>
      <w:r>
        <w:rPr/>
        <w:t xml:space="preserve">(h) A description of the criteria to be used for selecting collection locations when there are multiple paint retail stores that want to serve as collection sites in the same geographic area.</w:t>
      </w:r>
    </w:p>
    <w:p>
      <w:pPr>
        <w:spacing w:before="0" w:after="0" w:line="408" w:lineRule="exact"/>
        <w:ind w:left="0" w:right="0" w:firstLine="576"/>
        <w:jc w:val="left"/>
      </w:pPr>
      <w:r>
        <w:rPr/>
        <w:t xml:space="preserve">(i) A description of how leftover paint will be managed using environmentally sound management practices, including following the paint waste management hierarchy of: Source reduction; reuse; recycling; energy recovery; and disposal.</w:t>
      </w:r>
    </w:p>
    <w:p>
      <w:pPr>
        <w:spacing w:before="0" w:after="0" w:line="408" w:lineRule="exact"/>
        <w:ind w:left="0" w:right="0" w:firstLine="576"/>
        <w:jc w:val="left"/>
      </w:pPr>
      <w:r>
        <w:rPr/>
        <w:t xml:space="preserve">(j) A description of the process for managing architectural paint containers collected under the program, with an emphasis on recycling containers, where practical.</w:t>
      </w:r>
    </w:p>
    <w:p>
      <w:pPr>
        <w:spacing w:before="0" w:after="0" w:line="408" w:lineRule="exact"/>
        <w:ind w:left="0" w:right="0" w:firstLine="576"/>
        <w:jc w:val="left"/>
      </w:pPr>
      <w:r>
        <w:rPr/>
        <w:t xml:space="preserve">(k) A description of education and outreach efforts to promote the paint stewardship program. The education and outreach efforts must include effective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(l) A description of collection site procedural manuals for architectural paint products, including training procedures and electronic copies of materials that will be provided to collection sites to ensure the use of environmentally sound management practices when handling leftover architectural paint.</w:t>
      </w:r>
    </w:p>
    <w:p>
      <w:pPr>
        <w:spacing w:before="0" w:after="0" w:line="408" w:lineRule="exact"/>
        <w:ind w:left="0" w:right="0" w:firstLine="576"/>
        <w:jc w:val="left"/>
      </w:pPr>
      <w:r>
        <w:rPr/>
        <w:t xml:space="preserve">(m) A list of processors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 A stewardship organization shall promote a paint stewardship program and provide consumers, covered entities, and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(3) A new plan or plan amendment is required to be submitted to the department for approval when:</w:t>
      </w:r>
    </w:p>
    <w:p>
      <w:pPr>
        <w:spacing w:before="0" w:after="0" w:line="408" w:lineRule="exact"/>
        <w:ind w:left="0" w:right="0" w:firstLine="576"/>
        <w:jc w:val="left"/>
      </w:pPr>
      <w:r>
        <w:rPr/>
        <w:t xml:space="preserve">(a) There is a change to the amount of the assessment;</w:t>
      </w:r>
    </w:p>
    <w:p>
      <w:pPr>
        <w:spacing w:before="0" w:after="0" w:line="408" w:lineRule="exact"/>
        <w:ind w:left="0" w:right="0" w:firstLine="576"/>
        <w:jc w:val="left"/>
      </w:pPr>
      <w:r>
        <w:rPr/>
        <w:t xml:space="preserve">(b) There is an addition to the products covered under the program; or</w:t>
      </w:r>
    </w:p>
    <w:p>
      <w:pPr>
        <w:spacing w:before="0" w:after="0" w:line="408" w:lineRule="exact"/>
        <w:ind w:left="0" w:right="0" w:firstLine="576"/>
        <w:jc w:val="left"/>
      </w:pPr>
      <w:r>
        <w:rPr/>
        <w:t xml:space="preserve">(c) There is a revision of the product stewardship organization's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organization's program plan required in section 4 of this act must also describe how the program will provide for reasonably convenient and available statewide collection of leftover paint from covered entities in urban and rural areas of the state, including island communities. The program plan must address how it will utilize the existing solid waste collection, disposal, and recycling system to implement any stewardship program adopted.</w:t>
      </w:r>
    </w:p>
    <w:p>
      <w:pPr>
        <w:spacing w:before="0" w:after="0" w:line="408" w:lineRule="exact"/>
        <w:ind w:left="0" w:right="0" w:firstLine="576"/>
        <w:jc w:val="left"/>
      </w:pPr>
      <w:r>
        <w:rPr/>
        <w:t xml:space="preserve">(2) The program plan must address how it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coverage of costs for collecting postconsumer architectural paint and paint containers through permanent collection sites and collection events;</w:t>
      </w:r>
    </w:p>
    <w:p>
      <w:pPr>
        <w:spacing w:before="0" w:after="0" w:line="408" w:lineRule="exact"/>
        <w:ind w:left="0" w:right="0" w:firstLine="576"/>
        <w:jc w:val="left"/>
      </w:pPr>
      <w:r>
        <w:rPr/>
        <w:t xml:space="preserve">(b) The reuse or processing of postconsumer architectural paint at the permanent collection site; and</w:t>
      </w:r>
    </w:p>
    <w:p>
      <w:pPr>
        <w:spacing w:before="0" w:after="0" w:line="408" w:lineRule="exact"/>
        <w:ind w:left="0" w:right="0" w:firstLine="576"/>
        <w:jc w:val="left"/>
      </w:pPr>
      <w:r>
        <w:rPr/>
        <w:t xml:space="preserve">(c) The collection, transportation, and recycling or proper disposal of postconsumer architectural paint, including curbside services.</w:t>
      </w:r>
    </w:p>
    <w:p>
      <w:pPr>
        <w:spacing w:before="0" w:after="0" w:line="408" w:lineRule="exact"/>
        <w:ind w:left="0" w:right="0" w:firstLine="576"/>
        <w:jc w:val="left"/>
      </w:pPr>
      <w:r>
        <w:rPr/>
        <w:t xml:space="preserve">(3) To ensure adequate collection coverage, the plan must use geographic information modeling and the information required under subsection (2) of this section to determine the number and distribution of collection sites based on the following criteria: At least ninety percent of Washington residents must have a permanent collection site within a fifteen mile radius; and one additional permanent site must be established for every thirty thousand residents of a population center distributed to provide convenient and reasonably equitable access for residents within each population center, unless otherwise approved by the department. For the portion of the population that does not have a permanent collection location within a fifteen mile radius, the plan must provide collection events. The stewardship organization, in consultation with the department and the local community, will determine the frequency and location of these collections events, to be held at least once a year in underserved areas, unless otherwise determined through consultation with the local community. Special consideration is to be made for providing opportunities to island and geographically isolated populations.</w:t>
      </w:r>
    </w:p>
    <w:p>
      <w:pPr>
        <w:spacing w:before="0" w:after="0" w:line="408" w:lineRule="exact"/>
        <w:ind w:left="0" w:right="0" w:firstLine="576"/>
        <w:jc w:val="left"/>
      </w:pPr>
      <w:r>
        <w:rPr/>
        <w:t xml:space="preserve">(4)(a) Nothing in subsection (3)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The producers participating in an approved program plan are responsible for covering all administrative and operational costs of the program, including, but not limited to collection, reuse, recycling, transportation, and disposal of paint under the program. A fee may not be charged at the time the unwanted paint is delivered or collected for recycling. However, this does not prohibit collectors providing curbside services from charging customers a fee, as provided by city contract or by the Washington utilities and transportation commission under the authority of chapter</w:t>
      </w:r>
      <w:r>
        <w:rPr/>
        <w:t xml:space="preserve"> </w:t>
      </w:r>
      <w:r>
        <w:rPr/>
        <w:t xml:space="preserve">81.77</w:t>
      </w:r>
      <w:r>
        <w:rPr/>
        <w:t xml:space="preserve"> </w:t>
      </w:r>
      <w:r>
        <w:rPr/>
        <w:t xml:space="preserve">RCW, for the additional collection cost of providing this service.</w:t>
      </w:r>
    </w:p>
    <w:p>
      <w:pPr>
        <w:spacing w:before="0" w:after="0" w:line="408" w:lineRule="exact"/>
        <w:ind w:left="0" w:right="0" w:firstLine="576"/>
        <w:jc w:val="left"/>
      </w:pPr>
      <w:r>
        <w:rPr/>
        <w:t xml:space="preserve">(5)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(6) For purposes of this subsection, a stewardship organization shall renegotiate a contract for the establishment of a permanent collection site once every two years unless another period is agreed to by the contracting parties.</w:t>
      </w:r>
    </w:p>
    <w:p>
      <w:pPr>
        <w:spacing w:before="0" w:after="0" w:line="408" w:lineRule="exact"/>
        <w:ind w:left="0" w:right="0" w:firstLine="576"/>
        <w:jc w:val="left"/>
      </w:pPr>
      <w:r>
        <w:rPr/>
        <w:t xml:space="preserve">(7) The program must utilize existing paint retail stores as collection sites where cost effective and mutually agreeable.</w:t>
      </w:r>
    </w:p>
    <w:p>
      <w:pPr>
        <w:spacing w:before="0" w:after="0" w:line="408" w:lineRule="exact"/>
        <w:ind w:left="0" w:right="0" w:firstLine="576"/>
        <w:jc w:val="left"/>
      </w:pPr>
      <w:r>
        <w:rPr/>
        <w:t xml:space="preserve">(8) The plan must provide the collection site name and location of each site statewide in Washington accepting architectural paint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spacing w:before="0" w:after="0" w:line="408" w:lineRule="exact"/>
        <w:ind w:left="0" w:right="0" w:firstLine="576"/>
        <w:jc w:val="left"/>
      </w:pPr>
      <w:r>
        <w:rPr/>
        <w:t xml:space="preserve">(2) Each stewardship organization shall develop and distribute a collection site procedural manual to collection sites to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plan by January 1, 2018, or three months after approval of a paint stewardship program plan under section 4 of this act, whichever comes later.</w:t>
      </w:r>
    </w:p>
    <w:p>
      <w:pPr>
        <w:spacing w:before="0" w:after="0" w:line="408" w:lineRule="exact"/>
        <w:ind w:left="0" w:right="0" w:firstLine="576"/>
        <w:jc w:val="left"/>
      </w:pPr>
      <w:r>
        <w:rPr/>
        <w:t xml:space="preserve">(4) A stewardship organization shall submit an annual report by October 15th following the first year or partial year of operations and every year thereafter, structured to be used as a basis for annual plan review by the department. The report must be based on the requirements outlined in section 9 of this act.</w:t>
      </w:r>
    </w:p>
    <w:p>
      <w:pPr>
        <w:spacing w:before="0" w:after="0" w:line="408" w:lineRule="exact"/>
        <w:ind w:left="0" w:right="0" w:firstLine="576"/>
        <w:jc w:val="left"/>
      </w:pPr>
      <w:r>
        <w:rPr/>
        <w:t xml:space="preserve">(5) A stewardship organization shall work with producers, distributors, and retailers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section 7 of this act, in an amount sufficient to cover only the department's cost of administering and enforcing a paint stewardship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whether or not to approve the plan. The department shall provide a letter of approval for the plan if it provides for the establishment of a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actively supervise the conduct of a stewardship organization in determination and implementation of the architectural paint stewardship assessment specified in section 4(1) of this act.</w:t>
      </w:r>
    </w:p>
    <w:p>
      <w:pPr>
        <w:spacing w:before="0" w:after="0" w:line="408" w:lineRule="exact"/>
        <w:ind w:left="0" w:right="0" w:firstLine="576"/>
        <w:jc w:val="left"/>
      </w:pPr>
      <w:r>
        <w:rPr/>
        <w:t xml:space="preserve">(4) Beginning April 1, 2018, and annually thereafter, the department shall determine the department's costs required to be paid by each stewardship organization sufficient to cover only the department's costs of administering and enforcing paint stewardship programs under this chapter. The total amount of yearly reimbursement must not exceed the amount necessary to recover costs incurred by the department in connection with the administration, oversight, and enforcement of the requirements of this chapter. Any unspent money from the previous twelve-month period must be retained in the paint product stewardship account created in section 11 of this act and applied to reduce the payments by stewardship organizations in the following year.</w:t>
      </w:r>
    </w:p>
    <w:p>
      <w:pPr>
        <w:spacing w:before="0" w:after="0" w:line="408" w:lineRule="exact"/>
        <w:ind w:left="0" w:right="0" w:firstLine="576"/>
        <w:jc w:val="left"/>
      </w:pPr>
      <w:r>
        <w:rPr/>
        <w:t xml:space="preserve">(a) The department shall estimate the annual fee for the period of July 1st through June 30th and notify each stewardship organization by April 1st of the prior fiscal year. If there is more than one stewardship organization implementing a paint stewardship program in Washington, the fee will be divided equally between programs. The department shall make the proposed annual fee, along with an accounting of the costs, available for public review and comment for at least thirty days.</w:t>
      </w:r>
    </w:p>
    <w:p>
      <w:pPr>
        <w:spacing w:before="0" w:after="0" w:line="408" w:lineRule="exact"/>
        <w:ind w:left="0" w:right="0" w:firstLine="576"/>
        <w:jc w:val="left"/>
      </w:pPr>
      <w:r>
        <w:rPr/>
        <w:t xml:space="preserve">(b) The department shall collect annual fees from each stewardship organization by June 30, 2018, and annually thereafter.</w:t>
      </w:r>
    </w:p>
    <w:p>
      <w:pPr>
        <w:spacing w:before="0" w:after="0" w:line="408" w:lineRule="exact"/>
        <w:ind w:left="0" w:right="0" w:firstLine="576"/>
        <w:jc w:val="left"/>
      </w:pPr>
      <w:r>
        <w:rPr/>
        <w:t xml:space="preserve">(5) The department shall enforce this chapter.</w:t>
      </w:r>
    </w:p>
    <w:p>
      <w:pPr>
        <w:spacing w:before="0" w:after="0" w:line="408" w:lineRule="exact"/>
        <w:ind w:left="0" w:right="0" w:firstLine="576"/>
        <w:jc w:val="left"/>
      </w:pPr>
      <w:r>
        <w:rPr/>
        <w:t xml:space="preserve">(a) A civil penalty may be administratively imposed by the department on any person who violates this chapter in an amount of up to one thousand dollars per violation per day.</w:t>
      </w:r>
    </w:p>
    <w:p>
      <w:pPr>
        <w:spacing w:before="0" w:after="0" w:line="408" w:lineRule="exact"/>
        <w:ind w:left="0" w:right="0" w:firstLine="576"/>
        <w:jc w:val="left"/>
      </w:pPr>
      <w:r>
        <w:rPr/>
        <w:t xml:space="preserve">(b) A person who intentionally, knowingly, or negligently violates this chapter may be assessed a civil penalty by the department of up to ten thousand dollars per violation per day.</w:t>
      </w:r>
    </w:p>
    <w:p>
      <w:pPr>
        <w:spacing w:before="0" w:after="0" w:line="408" w:lineRule="exact"/>
        <w:ind w:left="0" w:right="0" w:firstLine="576"/>
        <w:jc w:val="left"/>
      </w:pPr>
      <w:r>
        <w:rPr/>
        <w:t xml:space="preserve">(c) Any person who incurs a penalty may appeal the penalty prescribed under this section to the pollution control hearings board created under chapter 43.21B RCW.</w:t>
      </w:r>
    </w:p>
    <w:p>
      <w:pPr>
        <w:spacing w:before="0" w:after="0" w:line="408" w:lineRule="exact"/>
        <w:ind w:left="0" w:right="0" w:firstLine="576"/>
        <w:jc w:val="left"/>
      </w:pPr>
      <w:r>
        <w:rPr/>
        <w:t xml:space="preserve">(6) By July 1, 2018, or upon the date the first plan is approved, whichever date is earlier,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(7) A producer that is not listed on the department's web site pursuant to this section, but demonstrates to the satisfaction of the department that it is in compliance with this chapter, must be added to the web site within fourteen days.</w:t>
      </w:r>
    </w:p>
    <w:p>
      <w:pPr>
        <w:spacing w:before="0" w:after="0" w:line="408" w:lineRule="exact"/>
        <w:ind w:left="0" w:right="0" w:firstLine="576"/>
        <w:jc w:val="left"/>
      </w:pPr>
      <w:r>
        <w:rPr/>
        <w:t xml:space="preserve">(8) The department shall review each annual report required pursuant to section 9 of this act within ninety days of its submission to ensure compliance with section 9(1) of this act.</w:t>
      </w:r>
    </w:p>
    <w:p>
      <w:pPr>
        <w:spacing w:before="0" w:after="0" w:line="408" w:lineRule="exact"/>
        <w:ind w:left="0" w:right="0" w:firstLine="576"/>
        <w:jc w:val="left"/>
      </w:pPr>
      <w:r>
        <w:rPr/>
        <w:t xml:space="preserve">(9) The department may request additional information from the stewardship organization outside the annual reporting requirements in section 9 of this act.</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implementing an approved paint stewardship program plan. However, a retailer may sell any paint purchased prior to the effective date of this section.</w:t>
      </w:r>
    </w:p>
    <w:p>
      <w:pPr>
        <w:spacing w:before="0" w:after="0" w:line="408" w:lineRule="exact"/>
        <w:ind w:left="0" w:right="0" w:firstLine="576"/>
        <w:jc w:val="left"/>
      </w:pPr>
      <w:r>
        <w:rPr/>
        <w:t xml:space="preserve">(2) A paint wholesaler or a paint retailer that distributes or sells architectural paint shall monitor the department's web site to determine if the sale of a producer's architectural paint is in compliance with this chapter.</w:t>
      </w:r>
    </w:p>
    <w:p>
      <w:pPr>
        <w:spacing w:before="0" w:after="0" w:line="408" w:lineRule="exact"/>
        <w:ind w:left="0" w:right="0" w:firstLine="576"/>
        <w:jc w:val="left"/>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architectural paint collected through a paint stewardship program or a brand of paint being sold under the program.</w:t>
      </w:r>
    </w:p>
    <w:p>
      <w:pPr>
        <w:spacing w:before="0" w:after="0" w:line="408" w:lineRule="exact"/>
        <w:ind w:left="0" w:right="0" w:firstLine="576"/>
        <w:jc w:val="left"/>
      </w:pPr>
      <w:r>
        <w:rPr/>
        <w:t xml:space="preserve">(4) A paint retailer that collects leftover architectural paint from covered entities must follow the collection site procedure manual developed by a stewardship organization to ensure the use of environmentally sound management practices when handling architectural paints at collection locations.</w:t>
      </w:r>
    </w:p>
    <w:p>
      <w:pPr>
        <w:spacing w:before="0" w:after="0" w:line="408" w:lineRule="exact"/>
        <w:ind w:left="0" w:right="0" w:firstLine="576"/>
        <w:jc w:val="left"/>
      </w:pPr>
      <w:r>
        <w:rPr/>
        <w:t xml:space="preserve">(5) Neither a retailer of architectural paint, nor any other retailer, is required to serve as a leftover paint collection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2018, and annually thereafter, a stewardship organization shall submit to the department a report describing the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w:t>
      </w:r>
    </w:p>
    <w:p>
      <w:pPr>
        <w:spacing w:before="0" w:after="0" w:line="408" w:lineRule="exact"/>
        <w:ind w:left="0" w:right="0" w:firstLine="576"/>
        <w:jc w:val="left"/>
      </w:pPr>
      <w:r>
        <w:rPr/>
        <w:t xml:space="preserve">(c) The total volume of leftover paint collected by the stewardship organization in Washington, including any increase in total volume of paint collected each year, cost of the program per gallon of paint collected, and the per capita cost of the program;</w:t>
      </w:r>
    </w:p>
    <w:p>
      <w:pPr>
        <w:spacing w:before="0" w:after="0" w:line="408" w:lineRule="exact"/>
        <w:ind w:left="0" w:right="0" w:firstLine="576"/>
        <w:jc w:val="left"/>
      </w:pPr>
      <w:r>
        <w:rPr/>
        <w:t xml:space="preserve">(d)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(e) An estimate of the total weight of all paint containers collected by the program and the amount recycled;</w:t>
      </w:r>
    </w:p>
    <w:p>
      <w:pPr>
        <w:spacing w:before="0" w:after="0" w:line="408" w:lineRule="exact"/>
        <w:ind w:left="0" w:right="0" w:firstLine="576"/>
        <w:jc w:val="left"/>
      </w:pPr>
      <w:r>
        <w:rPr/>
        <w:t xml:space="preserve">(f) A list of all processors through to final disposition that are used to manage leftover paint collected by the stewardship organization in the preceding year;</w:t>
      </w:r>
    </w:p>
    <w:p>
      <w:pPr>
        <w:spacing w:before="0" w:after="0" w:line="408" w:lineRule="exact"/>
        <w:ind w:left="0" w:right="0" w:firstLine="576"/>
        <w:jc w:val="left"/>
      </w:pPr>
      <w:r>
        <w:rPr/>
        <w:t xml:space="preserve">(g) A list of all the producers participating in the plan;</w:t>
      </w:r>
    </w:p>
    <w:p>
      <w:pPr>
        <w:spacing w:before="0" w:after="0" w:line="408" w:lineRule="exact"/>
        <w:ind w:left="0" w:right="0" w:firstLine="576"/>
        <w:jc w:val="left"/>
      </w:pPr>
      <w:r>
        <w:rPr/>
        <w:t xml:space="preserve">(h) The total volume of architectural paint sold in Washington during the preceding year based on the collected architectural paint stewardship assessment by the stewardship organization;</w:t>
      </w:r>
    </w:p>
    <w:p>
      <w:pPr>
        <w:spacing w:before="0" w:after="0" w:line="408" w:lineRule="exact"/>
        <w:ind w:left="0" w:right="0" w:firstLine="576"/>
        <w:jc w:val="left"/>
      </w:pPr>
      <w:r>
        <w:rPr/>
        <w:t xml:space="preserve">(i)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(j)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(k)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(l)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All reports submitted to the department must be available to the general public through the internet. 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producer or stewardship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plan pursuant to section 4 of this act and thereby are subject to regulation by the department are granted immunity from state laws relating to antitrust, restraint of trade, unfair trade practices, and other regulation of trade and commerce, for the limited purpose of planning and reporting on a paint stewardship program and proposing and establishing the architectural paint stewardship assessment required in section 4(1)(c) and (d)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Records, subject to chapter 42.56 RCW, filed with the department from any person that contain valuable commercial information, including trade secrets or confidential marketing, cost, or financial information, or customer-specific usage information, are not subject to inspection or copying under chapter 42.56 RCW unless the following conditions are met:</w:t>
      </w:r>
    </w:p>
    <w:p>
      <w:pPr>
        <w:spacing w:before="0" w:after="0" w:line="408" w:lineRule="exact"/>
        <w:ind w:left="0" w:right="0" w:firstLine="576"/>
        <w:jc w:val="left"/>
      </w:pPr>
      <w:r>
        <w:rPr/>
        <w:t xml:space="preserve">(a) The department has provided notice to the person or persons whose information is subject to possible inspection or copying under chapter 42.56 RCW; and</w:t>
      </w:r>
    </w:p>
    <w:p>
      <w:pPr>
        <w:spacing w:before="0" w:after="0" w:line="408" w:lineRule="exact"/>
        <w:ind w:left="0" w:right="0" w:firstLine="576"/>
        <w:jc w:val="left"/>
      </w:pPr>
      <w:r>
        <w:rPr/>
        <w:t xml:space="preserve">(b) Within ten days of the notice, the person has not obtained a superior court order protecting the records as confidential.</w:t>
      </w:r>
    </w:p>
    <w:p>
      <w:pPr>
        <w:spacing w:before="0" w:after="0" w:line="408" w:lineRule="exact"/>
        <w:ind w:left="0" w:right="0" w:firstLine="576"/>
        <w:jc w:val="left"/>
      </w:pPr>
      <w:r>
        <w:rPr/>
        <w:t xml:space="preserve">(2) Upon the notice provided under subsection (1)(a)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not subject to inspection or copying if disclosure would result in private loss, including an unfair competitive disadvantage.</w:t>
      </w:r>
    </w:p>
    <w:p>
      <w:pPr>
        <w:spacing w:before="0" w:after="0" w:line="408" w:lineRule="exact"/>
        <w:ind w:left="0" w:right="0" w:firstLine="576"/>
        <w:jc w:val="left"/>
      </w:pPr>
      <w:r>
        <w:rPr/>
        <w:t xml:space="preserve">(3) When providing information to the department, a person shall designate which records or portions of records contain valuable commercial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Records filed with the department of ecology under chapter 70.--- RCW (the new chapter created in section 21 of this act) that a court has determined are confidential valuable commercial information under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 RCW (the new chapter created in section 21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Appeals from penalties imposed by the department of ecology under chapter 70.--- RCW (the new chapter created in section 21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Appeals from penalties imposed by the department of ecology under chapter 70.--- RCW (the new chapter created in section 21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56d9658b212646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6ee4683f04681" /><Relationship Type="http://schemas.openxmlformats.org/officeDocument/2006/relationships/footer" Target="/word/footer.xml" Id="R56d9658b21264688" /></Relationships>
</file>