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9bd1c7c9a435a" /></Relationships>
</file>

<file path=word/document.xml><?xml version="1.0" encoding="utf-8"?>
<w:document xmlns:w="http://schemas.openxmlformats.org/wordprocessingml/2006/main">
  <w:body>
    <w:p>
      <w:r>
        <w:t>S-1735.1</w:t>
      </w:r>
    </w:p>
    <w:p>
      <w:pPr>
        <w:jc w:val="center"/>
      </w:pPr>
      <w:r>
        <w:t>_______________________________________________</w:t>
      </w:r>
    </w:p>
    <w:p/>
    <w:p>
      <w:pPr>
        <w:jc w:val="center"/>
      </w:pPr>
      <w:r>
        <w:rPr>
          <w:b/>
        </w:rPr>
        <w:t>SUBSTITUTE SENATE BILL 5452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and Warnick)</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and community projects; adding a new section to chapter 43.63A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The department of commerce must manage local and community projects that are funded through appropriations in the omnibus capital budget.</w:t>
      </w:r>
    </w:p>
    <w:p>
      <w:pPr>
        <w:spacing w:before="0" w:after="0" w:line="408" w:lineRule="exact"/>
        <w:ind w:left="0" w:right="0" w:firstLine="576"/>
        <w:jc w:val="left"/>
      </w:pPr>
      <w:r>
        <w:rPr/>
        <w:t xml:space="preserve">(2) The department may not expend an appropriation for a local and community project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(3) Prior to receiving funds, project recipients must demonstrate that the project site is under the recipient's legal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(4) Local and community projects may be required to comply with Washington's high performance building standards as required by chapter 39.35D RCW.</w:t>
      </w:r>
    </w:p>
    <w:p>
      <w:pPr>
        <w:spacing w:before="0" w:after="0" w:line="408" w:lineRule="exact"/>
        <w:ind w:left="0" w:right="0" w:firstLine="576"/>
        <w:jc w:val="left"/>
      </w:pPr>
      <w:r>
        <w:rPr/>
        <w:t xml:space="preserve">(5) Local and community project funds are available on a reimbursement basis only.</w:t>
      </w:r>
    </w:p>
    <w:p>
      <w:pPr>
        <w:spacing w:before="0" w:after="0" w:line="408" w:lineRule="exact"/>
        <w:ind w:left="0" w:right="0" w:firstLine="576"/>
        <w:jc w:val="left"/>
      </w:pPr>
      <w:r>
        <w:rPr/>
        <w:t xml:space="preserve">(6) Local and community projects, including those that are owned and operated by nonprofit organizations, are required to pay state prevailing wages.</w:t>
      </w:r>
    </w:p>
    <w:p>
      <w:pPr>
        <w:spacing w:before="0" w:after="0" w:line="408" w:lineRule="exact"/>
        <w:ind w:left="0" w:right="0" w:firstLine="576"/>
        <w:jc w:val="left"/>
      </w:pPr>
      <w:r>
        <w:rPr/>
        <w:t xml:space="preserve">(7) The department may not contract for the expenditure of state bond proceeds appropriated for local and community projects later than three years from the original appropriation.</w:t>
      </w:r>
    </w:p>
    <w:p>
      <w:pPr>
        <w:spacing w:before="0" w:after="0" w:line="408" w:lineRule="exact"/>
        <w:ind w:left="0" w:right="0" w:firstLine="576"/>
        <w:jc w:val="left"/>
      </w:pPr>
      <w:r>
        <w:rPr/>
        <w:t xml:space="preserve">(8) This section does not affect or impair any contracts in effect on the effective date of this section between the department and a project recipient.</w:t>
      </w:r>
    </w:p>
    <w:p>
      <w:pPr>
        <w:spacing w:before="0" w:after="0" w:line="408" w:lineRule="exact"/>
        <w:ind w:left="0" w:right="0" w:firstLine="576"/>
        <w:jc w:val="left"/>
      </w:pPr>
      <w:r>
        <w:rPr/>
        <w:t xml:space="preserve">(9) As used in this section, "local and community projects" are any grants or loans funded through appropriations to the department of commerce that are not the result of a competitive or prioritization process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63e26802b54e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1929fa75d4d5a" /><Relationship Type="http://schemas.openxmlformats.org/officeDocument/2006/relationships/footer" Target="/word/footer.xml" Id="Ref63e26802b54e2a" /></Relationships>
</file>