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4d8e2c5de44c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Hasegawa, Miloscia, Rolfes, Saldaña, Keiser, Wellman, Conway, Chase, Billig, Kuderer, Hunt, McCoy, and Darneille)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tax exemption transparency and accountability; amending RCW 43.06.400, 82.33.060, and 43.88.030;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incorporate a more explicit recognition of the fiscal impact of tax preferences on the state budget. This act reforms the tax preference expenditure process by explicitly including the fiscal impact of tax preference expenditures in the budget outlook document that is created as part of the biennial state budget process. This brings tax expenditures into the state budget process to protect the public's interest, make them more transparent and accountable, and help ensure they are producing results to meet the priorities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Beginning in January </w:t>
      </w:r>
      <w:r>
        <w:t>((</w:t>
      </w:r>
      <w:r>
        <w:rPr>
          <w:strike/>
        </w:rPr>
        <w:t xml:space="preserve">1984</w:t>
      </w:r>
      <w:r>
        <w:t>))</w:t>
      </w:r>
      <w:r>
        <w:rPr/>
        <w:t xml:space="preserve"> </w:t>
      </w:r>
      <w:r>
        <w:rPr>
          <w:u w:val="single"/>
        </w:rPr>
        <w:t xml:space="preserve">2019</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w:t>
      </w:r>
      <w:r>
        <w:t>((</w:t>
      </w:r>
      <w:r>
        <w:rPr>
          <w:strike/>
        </w:rPr>
        <w:t xml:space="preserve">exemptions</w:t>
      </w:r>
      <w:r>
        <w:t>))</w:t>
      </w:r>
      <w:r>
        <w:rPr/>
        <w:t xml:space="preserve"> </w:t>
      </w:r>
      <w:r>
        <w:rPr>
          <w:u w:val="single"/>
        </w:rPr>
        <w:t xml:space="preserve">preferences</w:t>
      </w:r>
      <w:r>
        <w:rPr/>
        <w:t xml:space="preserve">. The listing must include an estimate of the revenue lost from the tax </w:t>
      </w:r>
      <w:r>
        <w:t>((</w:t>
      </w:r>
      <w:r>
        <w:rPr>
          <w:strike/>
        </w:rPr>
        <w:t xml:space="preserve">exemption</w:t>
      </w:r>
      <w:r>
        <w:t>))</w:t>
      </w:r>
      <w:r>
        <w:rPr/>
        <w:t xml:space="preserve"> </w:t>
      </w:r>
      <w:r>
        <w:rPr>
          <w:u w:val="single"/>
        </w:rPr>
        <w:t xml:space="preserve">preference</w:t>
      </w:r>
      <w:r>
        <w:rPr/>
        <w:t xml:space="preserve">, the purpose of the tax </w:t>
      </w:r>
      <w:r>
        <w:t>((</w:t>
      </w:r>
      <w:r>
        <w:rPr>
          <w:strike/>
        </w:rPr>
        <w:t xml:space="preserve">exemption</w:t>
      </w:r>
      <w:r>
        <w:t>))</w:t>
      </w:r>
      <w:r>
        <w:rPr/>
        <w:t xml:space="preserve"> </w:t>
      </w:r>
      <w:r>
        <w:rPr>
          <w:u w:val="single"/>
        </w:rPr>
        <w:t xml:space="preserve">preference</w:t>
      </w:r>
      <w:r>
        <w:rPr/>
        <w:t xml:space="preserve">, the persons, organizations, or parts of the population which benefit from the tax </w:t>
      </w:r>
      <w:r>
        <w:t>((</w:t>
      </w:r>
      <w:r>
        <w:rPr>
          <w:strike/>
        </w:rPr>
        <w:t xml:space="preserve">exemption</w:t>
      </w:r>
      <w:r>
        <w:t>))</w:t>
      </w:r>
      <w:r>
        <w:rPr/>
        <w:t xml:space="preserve"> </w:t>
      </w:r>
      <w:r>
        <w:rPr>
          <w:u w:val="single"/>
        </w:rPr>
        <w:t xml:space="preserve">preference</w:t>
      </w:r>
      <w:r>
        <w:rPr/>
        <w:t xml:space="preserve">, </w:t>
      </w:r>
      <w:r>
        <w:rPr>
          <w:u w:val="single"/>
        </w:rPr>
        <w:t xml:space="preserve">recommendations by the legislative auditor and citizen commission for performance measurement of tax preferences for any review of the tax preference under chapter 43.136 RCW,</w:t>
      </w:r>
      <w:r>
        <w:rPr/>
        <w:t xml:space="preserve"> and whether or not the tax </w:t>
      </w:r>
      <w:r>
        <w:t>((</w:t>
      </w:r>
      <w:r>
        <w:rPr>
          <w:strike/>
        </w:rPr>
        <w:t xml:space="preserve">exemption</w:t>
      </w:r>
      <w:r>
        <w:t>))</w:t>
      </w:r>
      <w:r>
        <w:rPr/>
        <w:t xml:space="preserve"> </w:t>
      </w:r>
      <w:r>
        <w:rPr>
          <w:u w:val="single"/>
        </w:rPr>
        <w:t xml:space="preserve">preference</w:t>
      </w:r>
      <w:r>
        <w:rPr/>
        <w:t xml:space="preserve">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2019</w:t>
      </w:r>
      <w:r>
        <w:rPr/>
        <w:t xml:space="preserve">, and every </w:t>
      </w:r>
      <w:r>
        <w:t>((</w:t>
      </w:r>
      <w:r>
        <w:rPr>
          <w:strike/>
        </w:rPr>
        <w:t xml:space="preserve">four</w:t>
      </w:r>
      <w:r>
        <w:t>))</w:t>
      </w:r>
      <w:r>
        <w:rPr/>
        <w:t xml:space="preserve"> </w:t>
      </w:r>
      <w:r>
        <w:rPr>
          <w:u w:val="single"/>
        </w:rPr>
        <w:t xml:space="preserve">two</w:t>
      </w:r>
      <w:r>
        <w:rPr/>
        <w:t xml:space="preserve"> years thereafter the governor is requested to review the report from the department of revenue and may submit recommendations to the legislature with respect to the repeal or modification of any tax </w:t>
      </w:r>
      <w:r>
        <w:t>((</w:t>
      </w:r>
      <w:r>
        <w:rPr>
          <w:strike/>
        </w:rPr>
        <w:t xml:space="preserve">exemption. The ways and means committees of each house and the appropriate standing committee of each house must hold public hearings and take appropriate action on the recommendations submitted by the governor</w:t>
      </w:r>
      <w:r>
        <w:t>))</w:t>
      </w:r>
      <w:r>
        <w:rPr/>
        <w:t xml:space="preserve"> </w:t>
      </w:r>
      <w:r>
        <w:rPr>
          <w:u w:val="single"/>
        </w:rPr>
        <w:t xml:space="preserve">preference</w:t>
      </w:r>
      <w:r>
        <w:rPr/>
        <w:t xml:space="preserve">.</w:t>
      </w:r>
    </w:p>
    <w:p>
      <w:pPr>
        <w:spacing w:before="0" w:after="0" w:line="408" w:lineRule="exact"/>
        <w:ind w:left="0" w:right="0" w:firstLine="576"/>
        <w:jc w:val="left"/>
      </w:pPr>
      <w:r>
        <w:rPr/>
        <w:t xml:space="preserve">(5) As used in this section, "tax </w:t>
      </w:r>
      <w:r>
        <w:t>((</w:t>
      </w:r>
      <w:r>
        <w:rPr>
          <w:strike/>
        </w:rPr>
        <w:t xml:space="preserve">exemption</w:t>
      </w:r>
      <w:r>
        <w:t>))</w:t>
      </w:r>
      <w:r>
        <w:rPr/>
        <w:t xml:space="preserve"> </w:t>
      </w:r>
      <w:r>
        <w:rPr>
          <w:u w:val="single"/>
        </w:rPr>
        <w:t xml:space="preserve">preference</w:t>
      </w:r>
      <w:r>
        <w:rPr/>
        <w:t xml:space="preserve">" means an exemption, exclusion, or deduction from the base of a tax; a credit against a tax; a deferral of a tax; or a preferential tax rate.</w:t>
      </w:r>
    </w:p>
    <w:p>
      <w:pPr>
        <w:spacing w:before="0" w:after="0" w:line="408" w:lineRule="exact"/>
        <w:ind w:left="0" w:right="0" w:firstLine="576"/>
        <w:jc w:val="left"/>
      </w:pPr>
      <w:r>
        <w:t>((</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w:t>
      </w:r>
      <w:r>
        <w:t>((</w:t>
      </w:r>
      <w:r>
        <w:rPr>
          <w:strike/>
        </w:rPr>
        <w:t xml:space="preserve">shall</w:t>
      </w:r>
      <w:r>
        <w:t>))</w:t>
      </w:r>
      <w:r>
        <w:rPr/>
        <w:t xml:space="preserve"> </w:t>
      </w:r>
      <w:r>
        <w:rPr>
          <w:u w:val="single"/>
        </w:rPr>
        <w:t xml:space="preserve">must</w:t>
      </w:r>
      <w:r>
        <w:rPr/>
        <w:t xml:space="preserve"> be the current fiscal biennium and the next ensuing fiscal biennium. In even</w:t>
      </w:r>
      <w:r>
        <w:rPr/>
        <w:noBreakHyphen/>
      </w:r>
      <w:r>
        <w:rPr/>
        <w:t xml:space="preserve">numbered years, the period covered by the November state budget outlook </w:t>
      </w:r>
      <w:r>
        <w:t>((</w:t>
      </w:r>
      <w:r>
        <w:rPr>
          <w:strike/>
        </w:rPr>
        <w:t xml:space="preserve">shall</w:t>
      </w:r>
      <w:r>
        <w:t>))</w:t>
      </w:r>
      <w:r>
        <w:rPr/>
        <w:t xml:space="preserve"> </w:t>
      </w:r>
      <w:r>
        <w:rPr>
          <w:u w:val="single"/>
        </w:rPr>
        <w:t xml:space="preserve">must</w:t>
      </w:r>
      <w:r>
        <w:rPr/>
        <w:t xml:space="preserve">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and</w:t>
      </w:r>
    </w:p>
    <w:p>
      <w:pPr>
        <w:spacing w:before="0" w:after="0" w:line="408" w:lineRule="exact"/>
        <w:ind w:left="0" w:right="0" w:firstLine="576"/>
        <w:jc w:val="left"/>
      </w:pPr>
      <w:r>
        <w:rPr/>
        <w:t xml:space="preserve">(e)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w:t>
      </w:r>
      <w:r>
        <w:rPr>
          <w:u w:val="single"/>
        </w:rPr>
        <w:t xml:space="preserve">The projected fiscal impact of discretionary tax preferences in the current biennium and subsequent biennium, classified by the category of the tax preference as provided in the tax preference listing created and maintained by the department of revenue under RCW 43.06.400, shall be included for informational purposes in the materials produced for the November state budget outlook.</w:t>
      </w:r>
    </w:p>
    <w:p>
      <w:pPr>
        <w:spacing w:before="0" w:after="0" w:line="408" w:lineRule="exact"/>
        <w:ind w:left="0" w:right="0" w:firstLine="576"/>
        <w:jc w:val="left"/>
      </w:pPr>
      <w:r>
        <w:rPr>
          <w:u w:val="single"/>
        </w:rPr>
        <w:t xml:space="preserve">(5)</w:t>
      </w:r>
      <w:r>
        <w:rPr/>
        <w:t xml:space="preserve"> The economic and revenue forecast council </w:t>
      </w:r>
      <w:r>
        <w:t>((</w:t>
      </w:r>
      <w:r>
        <w:rPr>
          <w:strike/>
        </w:rPr>
        <w:t xml:space="preserve">shall</w:t>
      </w:r>
      <w:r>
        <w:t>))</w:t>
      </w:r>
      <w:r>
        <w:rPr/>
        <w:t xml:space="preserve"> </w:t>
      </w:r>
      <w:r>
        <w:rPr>
          <w:u w:val="single"/>
        </w:rPr>
        <w:t xml:space="preserve">must</w:t>
      </w:r>
      <w:r>
        <w:rPr/>
        <w:t xml:space="preserve">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January, the state budget outlook work group </w:t>
      </w:r>
      <w:r>
        <w:t>((</w:t>
      </w:r>
      <w:r>
        <w:rPr>
          <w:strike/>
        </w:rPr>
        <w:t xml:space="preserve">shall</w:t>
      </w:r>
      <w:r>
        <w:t>))</w:t>
      </w:r>
      <w:r>
        <w:rPr/>
        <w:t xml:space="preserve"> </w:t>
      </w:r>
      <w:r>
        <w:rPr>
          <w:u w:val="single"/>
        </w:rPr>
        <w:t xml:space="preserve">must</w:t>
      </w:r>
      <w:r>
        <w:rPr/>
        <w:t xml:space="preserve">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agencies of state government </w:t>
      </w:r>
      <w:r>
        <w:t>((</w:t>
      </w:r>
      <w:r>
        <w:rPr>
          <w:strike/>
        </w:rPr>
        <w:t xml:space="preserve">shall</w:t>
      </w:r>
      <w:r>
        <w:t>))</w:t>
      </w:r>
      <w:r>
        <w:rPr/>
        <w:t xml:space="preserve"> </w:t>
      </w:r>
      <w:r>
        <w:rPr>
          <w:u w:val="single"/>
        </w:rPr>
        <w:t xml:space="preserve">must</w:t>
      </w:r>
      <w:r>
        <w:rPr/>
        <w:t xml:space="preserve"> provide to the supervisor immediate access to all information relating to state budget outlooks.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0" w:after="0" w:line="408" w:lineRule="exact"/>
        <w:ind w:left="0" w:right="0" w:firstLine="576"/>
        <w:jc w:val="left"/>
      </w:pPr>
      <w:r>
        <w:rPr>
          <w:u w:val="single"/>
        </w:rPr>
        <w:t xml:space="preserve">(9)(a) The state budget outlook work group must maintain a current listing of discretionary tax preferences on the economic and revenue forecast council web site. The listing must include the following information:</w:t>
      </w:r>
    </w:p>
    <w:p>
      <w:pPr>
        <w:spacing w:before="0" w:after="0" w:line="408" w:lineRule="exact"/>
        <w:ind w:left="0" w:right="0" w:firstLine="576"/>
        <w:jc w:val="left"/>
      </w:pPr>
      <w:r>
        <w:rPr>
          <w:u w:val="single"/>
        </w:rPr>
        <w:t xml:space="preserve">(i) A description of the discretionary tax preference;</w:t>
      </w:r>
    </w:p>
    <w:p>
      <w:pPr>
        <w:spacing w:before="0" w:after="0" w:line="408" w:lineRule="exact"/>
        <w:ind w:left="0" w:right="0" w:firstLine="576"/>
        <w:jc w:val="left"/>
      </w:pPr>
      <w:r>
        <w:rPr>
          <w:u w:val="single"/>
        </w:rPr>
        <w:t xml:space="preserve">(ii) Prior and estimated future fiscal impacts;</w:t>
      </w:r>
    </w:p>
    <w:p>
      <w:pPr>
        <w:spacing w:before="0" w:after="0" w:line="408" w:lineRule="exact"/>
        <w:ind w:left="0" w:right="0" w:firstLine="576"/>
        <w:jc w:val="left"/>
      </w:pPr>
      <w:r>
        <w:rPr>
          <w:u w:val="single"/>
        </w:rPr>
        <w:t xml:space="preserve">(iii) Any stated public policy objective of the discretionary tax preference;</w:t>
      </w:r>
    </w:p>
    <w:p>
      <w:pPr>
        <w:spacing w:before="0" w:after="0" w:line="408" w:lineRule="exact"/>
        <w:ind w:left="0" w:right="0" w:firstLine="576"/>
        <w:jc w:val="left"/>
      </w:pPr>
      <w:r>
        <w:rPr>
          <w:u w:val="single"/>
        </w:rPr>
        <w:t xml:space="preserve">(iv) The expiration date of the discretionary tax preference or the lack thereof; and</w:t>
      </w:r>
    </w:p>
    <w:p>
      <w:pPr>
        <w:spacing w:before="0" w:after="0" w:line="408" w:lineRule="exact"/>
        <w:ind w:left="0" w:right="0" w:firstLine="576"/>
        <w:jc w:val="left"/>
      </w:pPr>
      <w:r>
        <w:rPr>
          <w:u w:val="single"/>
        </w:rPr>
        <w:t xml:space="preserve">(v) The most recently available recommendations to continue, modify, or eliminate the discretionary tax preference by the legislative auditor and the citizen commission for performance measurement of tax preferences under chapter 43.136 RCW.</w:t>
      </w:r>
    </w:p>
    <w:p>
      <w:pPr>
        <w:spacing w:before="0" w:after="0" w:line="408" w:lineRule="exact"/>
        <w:ind w:left="0" w:right="0" w:firstLine="576"/>
        <w:jc w:val="left"/>
      </w:pPr>
      <w:r>
        <w:rPr>
          <w:u w:val="single"/>
        </w:rPr>
        <w:t xml:space="preserve">(b) The department must provide the information contained in the listing under RCW 43.06.400 to the state budget outlook work group.</w:t>
      </w:r>
    </w:p>
    <w:p>
      <w:pPr>
        <w:spacing w:before="0" w:after="0" w:line="408" w:lineRule="exact"/>
        <w:ind w:left="0" w:right="0" w:firstLine="576"/>
        <w:jc w:val="left"/>
      </w:pPr>
      <w:r>
        <w:rPr>
          <w:u w:val="single"/>
        </w:rPr>
        <w:t xml:space="preserve">(10) For the purpose of this section, "discretionary tax preference" means a tax preference, as defined in RCW 43.136.021, which is not required by the state Constitution, United States Constitution,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 The budget document or documents </w:t>
      </w:r>
      <w:r>
        <w:t>((</w:t>
      </w:r>
      <w:r>
        <w:rPr>
          <w:strike/>
        </w:rPr>
        <w:t xml:space="preserve">shall</w:t>
      </w:r>
      <w:r>
        <w:t>))</w:t>
      </w:r>
      <w:r>
        <w:rPr/>
        <w:t xml:space="preserve"> </w:t>
      </w:r>
      <w:r>
        <w:rPr>
          <w:u w:val="single"/>
        </w:rPr>
        <w:t xml:space="preserve">must</w:t>
      </w:r>
      <w:r>
        <w:rPr/>
        <w:t xml:space="preserve"> consist of the governor's budget message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 The biennial budget document or documents </w:t>
      </w:r>
      <w:r>
        <w:t>((</w:t>
      </w:r>
      <w:r>
        <w:rPr>
          <w:strike/>
        </w:rPr>
        <w:t xml:space="preserve">shall</w:t>
      </w:r>
      <w:r>
        <w:t>))</w:t>
      </w:r>
      <w:r>
        <w:rPr/>
        <w:t xml:space="preserve"> </w:t>
      </w:r>
      <w:r>
        <w:rPr>
          <w:u w:val="single"/>
        </w:rPr>
        <w:t xml:space="preserve">must</w:t>
      </w:r>
      <w:r>
        <w:rPr/>
        <w:t xml:space="preserve"> also describe performance indicators that demonstrate measurable progress towards priority results. The message </w:t>
      </w:r>
      <w:r>
        <w:t>((</w:t>
      </w:r>
      <w:r>
        <w:rPr>
          <w:strike/>
        </w:rPr>
        <w:t xml:space="preserve">shall</w:t>
      </w:r>
      <w:r>
        <w:t>))</w:t>
      </w:r>
      <w:r>
        <w:rPr/>
        <w:t xml:space="preserve"> </w:t>
      </w:r>
      <w:r>
        <w:rPr>
          <w:u w:val="single"/>
        </w:rPr>
        <w:t xml:space="preserve">must</w:t>
      </w:r>
      <w:r>
        <w:rPr/>
        <w:t xml:space="preserve"> set forth the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 Attached to the budget message </w:t>
      </w:r>
      <w:r>
        <w:t>((</w:t>
      </w:r>
      <w:r>
        <w:rPr>
          <w:strike/>
        </w:rPr>
        <w:t xml:space="preserve">shall</w:t>
      </w:r>
      <w:r>
        <w:t>))</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w:t>
      </w:r>
      <w:r>
        <w:t>((</w:t>
      </w:r>
      <w:r>
        <w:rPr>
          <w:strike/>
        </w:rPr>
        <w:t xml:space="preserve">and</w:t>
      </w:r>
      <w:r>
        <w:t>))</w:t>
      </w:r>
    </w:p>
    <w:p>
      <w:pPr>
        <w:spacing w:before="0" w:after="0" w:line="408" w:lineRule="exact"/>
        <w:ind w:left="0" w:right="0" w:firstLine="576"/>
        <w:jc w:val="left"/>
      </w:pPr>
      <w:r>
        <w:rPr/>
        <w:t xml:space="preserve">(h) </w:t>
      </w:r>
      <w:r>
        <w:rPr>
          <w:u w:val="single"/>
        </w:rPr>
        <w:t xml:space="preserve">A listing of discretionary tax preferences in the form and manner provided in RCW 82.33.060(9). The budget portion of the web site of the governor and office of financial management must also provide a prominent link to the listing; and</w:t>
      </w:r>
    </w:p>
    <w:p>
      <w:pPr>
        <w:spacing w:before="0" w:after="0" w:line="408" w:lineRule="exact"/>
        <w:ind w:left="0" w:right="0" w:firstLine="576"/>
        <w:jc w:val="left"/>
      </w:pPr>
      <w:r>
        <w:rPr>
          <w:u w:val="single"/>
        </w:rPr>
        <w:t xml:space="preserve">(i)</w:t>
      </w:r>
      <w:r>
        <w:rPr/>
        <w:t xml:space="preserve">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w:t>
      </w:r>
      <w:r>
        <w:t>((</w:t>
      </w:r>
      <w:r>
        <w:rPr>
          <w:strike/>
        </w:rPr>
        <w:t xml:space="preserve">shall</w:t>
      </w:r>
      <w:r>
        <w:t>))</w:t>
      </w:r>
      <w:r>
        <w:rPr/>
        <w:t xml:space="preserve"> </w:t>
      </w:r>
      <w:r>
        <w:rPr>
          <w:u w:val="single"/>
        </w:rPr>
        <w:t xml:space="preserve">must</w:t>
      </w:r>
      <w:r>
        <w:rPr/>
        <w:t xml:space="preserve"> reflect the statewide priorities as required by RCW 43.88.090.</w:t>
      </w:r>
    </w:p>
    <w:p>
      <w:pPr>
        <w:spacing w:before="0" w:after="0" w:line="408" w:lineRule="exact"/>
        <w:ind w:left="0" w:right="0" w:firstLine="576"/>
        <w:jc w:val="left"/>
      </w:pPr>
      <w:r>
        <w:rPr/>
        <w:t xml:space="preserve">(4) The governor's operating budget document or documents </w:t>
      </w:r>
      <w:r>
        <w:t>((</w:t>
      </w:r>
      <w:r>
        <w:rPr>
          <w:strike/>
        </w:rPr>
        <w:t xml:space="preserve">shall</w:t>
      </w:r>
      <w:r>
        <w:t>))</w:t>
      </w:r>
      <w:r>
        <w:rPr/>
        <w:t xml:space="preserve"> </w:t>
      </w:r>
      <w:r>
        <w:rPr>
          <w:u w:val="single"/>
        </w:rPr>
        <w:t xml:space="preserve">must</w:t>
      </w:r>
      <w:r>
        <w:rPr/>
        <w:t xml:space="preserve">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(6)</w:t>
      </w:r>
      <w:r>
        <w:rPr/>
        <w:t xml:space="preserve"> For purposes of </w:t>
      </w:r>
      <w:r>
        <w:t>((</w:t>
      </w:r>
      <w:r>
        <w:rPr>
          <w:strike/>
        </w:rPr>
        <w:t xml:space="preserve">this</w:t>
      </w:r>
      <w:r>
        <w:t>))</w:t>
      </w:r>
      <w:r>
        <w:rPr/>
        <w:t xml:space="preserve"> subsection (5) </w:t>
      </w:r>
      <w:r>
        <w:rPr>
          <w:u w:val="single"/>
        </w:rPr>
        <w:t xml:space="preserve">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
      <w:pPr>
        <w:jc w:val="center"/>
      </w:pPr>
      <w:r>
        <w:rPr>
          <w:b/>
        </w:rPr>
        <w:t>--- END ---</w:t>
      </w:r>
    </w:p>
    <w:sectPr>
      <w:pgNumType w:start="1"/>
      <w:footerReference xmlns:r="http://schemas.openxmlformats.org/officeDocument/2006/relationships" r:id="R031357c4d3d342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1cd11c92ba4cd3" /><Relationship Type="http://schemas.openxmlformats.org/officeDocument/2006/relationships/footer" Target="/word/footer.xml" Id="R031357c4d3d34224" /></Relationships>
</file>