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7bf16fd5043ed" /></Relationships>
</file>

<file path=word/document.xml><?xml version="1.0" encoding="utf-8"?>
<w:document xmlns:w="http://schemas.openxmlformats.org/wordprocessingml/2006/main">
  <w:body>
    <w:p>
      <w:r>
        <w:t>S-1817.1</w:t>
      </w:r>
    </w:p>
    <w:p>
      <w:pPr>
        <w:jc w:val="center"/>
      </w:pPr>
      <w:r>
        <w:t>_______________________________________________</w:t>
      </w:r>
    </w:p>
    <w:p/>
    <w:p>
      <w:pPr>
        <w:jc w:val="center"/>
      </w:pPr>
      <w:r>
        <w:rPr>
          <w:b/>
        </w:rPr>
        <w:t>SECOND SUBSTITUTE SENATE BILL 5559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Darneille, Saldaña, Hasegawa, Wellman, Cleveland, Palumbo, Keiser, McCoy, Chase,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 "Suitable person" means a nonrelative who has completed all required criminal history background checks and otherwise appears to be suitable and competent to provide care for the youth. The required criminal history background checks are those set out in RCW 26.10.135 (1) and (2)(b), but apply only to the proposed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0" w:after="0" w:line="408" w:lineRule="exact"/>
        <w:ind w:left="0" w:right="0" w:firstLine="576"/>
        <w:jc w:val="left"/>
      </w:pPr>
      <w:r>
        <w:rPr/>
        <w:t xml:space="preserve">(5) Subject to the availability of amounts appropriated for this specific purpose, on or before December 31, 2018, the Washington state task force against the trafficking of persons established in RCW 7.68.350, must deliver an evaluation of the vulnerable youth guardianship program to the legislature. In its evaluation, the task force must determine whether a vulnerable youth advocate interview is necessary before a vulnerable youth guardianship is granted, when the proposed guardian is a suitable person as defined in section 3 of this act. If the task force favorably recommends a vulnerable youth advocate interview prior to appointment of a "suitable person" guardian, the task force must also recommend a scope and minimum requirements for the interview, and training recommendations for any organizations whose members would qualify to serve on a vulnerable youth advocate interviewer roster.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must ensure the legal rights of the vulnerable youth are not violated, and may specify the guardian's additional rights and responsibilities concerning the care, custody, and nurturing of the vulnerable youth;</w:t>
      </w:r>
    </w:p>
    <w:p>
      <w:pPr>
        <w:spacing w:before="0" w:after="0" w:line="408" w:lineRule="exact"/>
        <w:ind w:left="0" w:right="0" w:firstLine="576"/>
        <w:jc w:val="left"/>
      </w:pPr>
      <w:r>
        <w:rPr/>
        <w:t xml:space="preserve">(c) Specify the need for and scope of continued oversight by the court, if any; and</w:t>
      </w:r>
    </w:p>
    <w:p>
      <w:pPr>
        <w:spacing w:before="0" w:after="0" w:line="408" w:lineRule="exact"/>
        <w:ind w:left="0" w:right="0" w:firstLine="576"/>
        <w:jc w:val="left"/>
      </w:pPr>
      <w:r>
        <w:rPr/>
        <w:t xml:space="preserve">(d) Prohibit the guardian from taking possession or retaining possession of any identity documents belonging to the vulnerable youth.</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If a vulnerable youth guardian is determined by the court to be a suitable person as defined in section 3 of this act for a vulnerable youth who is not represented by counsel, the court must provide the vulnerable youth with a list of human trafficking survivor service providers together with the vulnerable youth guardianship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a862d9eca0f846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24a6515b24a15" /><Relationship Type="http://schemas.openxmlformats.org/officeDocument/2006/relationships/footer" Target="/word/footer.xml" Id="Ra862d9eca0f84682" /></Relationships>
</file>